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7143" w14:textId="345C826A" w:rsidR="00D12760" w:rsidRDefault="00D12760" w:rsidP="00D12760">
      <w:pPr>
        <w:pStyle w:val="Ttulo"/>
        <w:spacing w:line="480" w:lineRule="auto"/>
        <w:jc w:val="center"/>
        <w:rPr>
          <w:rFonts w:asciiTheme="majorBidi" w:hAnsiTheme="majorBidi"/>
          <w:sz w:val="24"/>
          <w:szCs w:val="24"/>
        </w:rPr>
      </w:pPr>
      <w:r w:rsidRPr="00AE4524">
        <w:rPr>
          <w:rFonts w:asciiTheme="majorBidi" w:hAnsiTheme="majorBidi"/>
          <w:noProof/>
          <w:sz w:val="24"/>
          <w:szCs w:val="24"/>
          <w:lang w:eastAsia="es-CO"/>
        </w:rPr>
        <w:drawing>
          <wp:inline distT="0" distB="0" distL="0" distR="0" wp14:anchorId="0C194C7A" wp14:editId="41979134">
            <wp:extent cx="2038350" cy="970533"/>
            <wp:effectExtent l="0" t="0" r="0" b="1270"/>
            <wp:docPr id="4" name="Imagen 4" descr="C:\Users\PRESTAMO02\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AMO02\Downloads\unnam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765" b="20716"/>
                    <a:stretch/>
                  </pic:blipFill>
                  <pic:spPr bwMode="auto">
                    <a:xfrm>
                      <a:off x="0" y="0"/>
                      <a:ext cx="2051026" cy="976569"/>
                    </a:xfrm>
                    <a:prstGeom prst="rect">
                      <a:avLst/>
                    </a:prstGeom>
                    <a:noFill/>
                    <a:ln>
                      <a:noFill/>
                    </a:ln>
                    <a:extLst>
                      <a:ext uri="{53640926-AAD7-44D8-BBD7-CCE9431645EC}">
                        <a14:shadowObscured xmlns:a14="http://schemas.microsoft.com/office/drawing/2010/main"/>
                      </a:ext>
                    </a:extLst>
                  </pic:spPr>
                </pic:pic>
              </a:graphicData>
            </a:graphic>
          </wp:inline>
        </w:drawing>
      </w:r>
    </w:p>
    <w:p w14:paraId="670A081B" w14:textId="0DB78211" w:rsidR="00D12760" w:rsidRPr="00FD7D0B" w:rsidRDefault="00D12760" w:rsidP="00D12760">
      <w:pPr>
        <w:pStyle w:val="Ttulo"/>
        <w:spacing w:line="480" w:lineRule="auto"/>
        <w:jc w:val="center"/>
        <w:rPr>
          <w:rFonts w:asciiTheme="majorBidi" w:hAnsiTheme="majorBidi"/>
          <w:sz w:val="24"/>
          <w:szCs w:val="24"/>
        </w:rPr>
      </w:pPr>
      <w:bookmarkStart w:id="0" w:name="_Hlk140851794"/>
      <w:r>
        <w:rPr>
          <w:rFonts w:asciiTheme="majorBidi" w:hAnsiTheme="majorBidi"/>
          <w:sz w:val="24"/>
          <w:szCs w:val="24"/>
        </w:rPr>
        <w:t>El consentimiento de los menores entre 12 y 14 años en los delitos sexuales</w:t>
      </w:r>
    </w:p>
    <w:bookmarkEnd w:id="0"/>
    <w:p w14:paraId="06E5DBE3" w14:textId="77777777" w:rsidR="00D12760" w:rsidRPr="00FD7D0B" w:rsidRDefault="00D12760" w:rsidP="00D12760">
      <w:pPr>
        <w:spacing w:after="0" w:line="480" w:lineRule="auto"/>
        <w:jc w:val="center"/>
        <w:rPr>
          <w:rFonts w:asciiTheme="majorBidi" w:hAnsiTheme="majorBidi" w:cstheme="majorBidi"/>
          <w:szCs w:val="24"/>
        </w:rPr>
      </w:pPr>
    </w:p>
    <w:p w14:paraId="3B315268" w14:textId="77777777" w:rsidR="00D12760" w:rsidRPr="00FD7D0B" w:rsidRDefault="00D12760" w:rsidP="00D12760">
      <w:pPr>
        <w:spacing w:after="0" w:line="480" w:lineRule="auto"/>
        <w:jc w:val="center"/>
        <w:rPr>
          <w:rFonts w:asciiTheme="majorBidi" w:hAnsiTheme="majorBidi" w:cstheme="majorBidi"/>
          <w:szCs w:val="24"/>
        </w:rPr>
      </w:pPr>
    </w:p>
    <w:p w14:paraId="6E33296F" w14:textId="77777777" w:rsidR="00D12760" w:rsidRPr="00FD7D0B" w:rsidRDefault="00D12760" w:rsidP="00D12760">
      <w:pPr>
        <w:spacing w:after="0" w:line="480" w:lineRule="auto"/>
        <w:jc w:val="center"/>
        <w:rPr>
          <w:rFonts w:asciiTheme="majorBidi" w:hAnsiTheme="majorBidi" w:cstheme="majorBidi"/>
          <w:szCs w:val="24"/>
        </w:rPr>
      </w:pPr>
    </w:p>
    <w:p w14:paraId="3BC9765E" w14:textId="77777777" w:rsidR="00D12760" w:rsidRDefault="00D12760" w:rsidP="00D12760">
      <w:pPr>
        <w:spacing w:after="0" w:line="480" w:lineRule="auto"/>
        <w:jc w:val="center"/>
        <w:rPr>
          <w:rFonts w:asciiTheme="majorBidi" w:hAnsiTheme="majorBidi" w:cstheme="majorBidi"/>
          <w:b/>
          <w:szCs w:val="24"/>
        </w:rPr>
      </w:pPr>
    </w:p>
    <w:p w14:paraId="3ACED57B" w14:textId="77777777" w:rsidR="00D12760" w:rsidRDefault="00D12760" w:rsidP="00D12760">
      <w:pPr>
        <w:spacing w:after="0" w:line="480" w:lineRule="auto"/>
        <w:jc w:val="center"/>
        <w:rPr>
          <w:rFonts w:asciiTheme="majorBidi" w:hAnsiTheme="majorBidi" w:cstheme="majorBidi"/>
          <w:b/>
          <w:szCs w:val="24"/>
        </w:rPr>
      </w:pPr>
    </w:p>
    <w:p w14:paraId="2BE0A7A7" w14:textId="77777777" w:rsidR="00D12760" w:rsidRPr="00FD7D0B" w:rsidRDefault="00D12760" w:rsidP="00D12760">
      <w:pPr>
        <w:spacing w:after="0" w:line="480" w:lineRule="auto"/>
        <w:jc w:val="center"/>
        <w:rPr>
          <w:rFonts w:asciiTheme="majorBidi" w:hAnsiTheme="majorBidi" w:cstheme="majorBidi"/>
          <w:b/>
          <w:szCs w:val="24"/>
        </w:rPr>
      </w:pPr>
      <w:r w:rsidRPr="007F166A">
        <w:rPr>
          <w:rFonts w:asciiTheme="majorBidi" w:hAnsiTheme="majorBidi" w:cstheme="majorBidi"/>
          <w:b/>
          <w:szCs w:val="24"/>
        </w:rPr>
        <w:t>Sandy Paola Villamil Beltrán</w:t>
      </w:r>
    </w:p>
    <w:p w14:paraId="648C6E95" w14:textId="7FA7557C" w:rsidR="00D12760" w:rsidRPr="00FD7D0B" w:rsidRDefault="002F3679" w:rsidP="00D12760">
      <w:pPr>
        <w:spacing w:after="0" w:line="480" w:lineRule="auto"/>
        <w:jc w:val="center"/>
        <w:rPr>
          <w:rFonts w:asciiTheme="majorBidi" w:hAnsiTheme="majorBidi" w:cstheme="majorBidi"/>
          <w:szCs w:val="24"/>
        </w:rPr>
      </w:pPr>
      <w:r>
        <w:rPr>
          <w:rFonts w:asciiTheme="majorBidi" w:hAnsiTheme="majorBidi" w:cstheme="majorBidi"/>
          <w:szCs w:val="24"/>
        </w:rPr>
        <w:t>11832017386</w:t>
      </w:r>
    </w:p>
    <w:p w14:paraId="7A7B3DD1" w14:textId="77777777" w:rsidR="00D12760" w:rsidRPr="00FD7D0B" w:rsidRDefault="00D12760" w:rsidP="00D12760">
      <w:pPr>
        <w:spacing w:after="0" w:line="480" w:lineRule="auto"/>
        <w:jc w:val="center"/>
        <w:rPr>
          <w:rFonts w:asciiTheme="majorBidi" w:hAnsiTheme="majorBidi" w:cstheme="majorBidi"/>
          <w:szCs w:val="24"/>
        </w:rPr>
      </w:pPr>
    </w:p>
    <w:p w14:paraId="64FF6625" w14:textId="77777777" w:rsidR="00D12760" w:rsidRDefault="00D12760" w:rsidP="00D12760">
      <w:pPr>
        <w:spacing w:after="0" w:line="480" w:lineRule="auto"/>
        <w:jc w:val="center"/>
        <w:rPr>
          <w:rFonts w:asciiTheme="majorBidi" w:hAnsiTheme="majorBidi" w:cstheme="majorBidi"/>
          <w:szCs w:val="24"/>
        </w:rPr>
      </w:pPr>
    </w:p>
    <w:p w14:paraId="25F1A545" w14:textId="77777777" w:rsidR="00D12760" w:rsidRPr="00D12760" w:rsidRDefault="00D12760" w:rsidP="00D12760">
      <w:pPr>
        <w:spacing w:line="480" w:lineRule="auto"/>
        <w:rPr>
          <w:rFonts w:asciiTheme="majorBidi" w:hAnsiTheme="majorBidi" w:cstheme="majorBidi"/>
        </w:rPr>
      </w:pPr>
    </w:p>
    <w:p w14:paraId="425E1C5C" w14:textId="77777777" w:rsidR="00D12760" w:rsidRPr="00FD7D0B" w:rsidRDefault="00D12760" w:rsidP="00D12760">
      <w:pPr>
        <w:pStyle w:val="Prrafodelista"/>
        <w:spacing w:line="480" w:lineRule="auto"/>
        <w:jc w:val="center"/>
        <w:rPr>
          <w:rFonts w:asciiTheme="majorBidi" w:hAnsiTheme="majorBidi" w:cstheme="majorBidi"/>
        </w:rPr>
      </w:pPr>
    </w:p>
    <w:p w14:paraId="2F72DC86" w14:textId="77777777" w:rsidR="00D12760" w:rsidRPr="00140961" w:rsidRDefault="00D12760" w:rsidP="00D12760">
      <w:pPr>
        <w:pStyle w:val="Prrafodelista"/>
        <w:spacing w:line="480" w:lineRule="auto"/>
        <w:jc w:val="center"/>
        <w:rPr>
          <w:rFonts w:asciiTheme="majorBidi" w:hAnsiTheme="majorBidi" w:cstheme="majorBidi"/>
          <w:b/>
          <w:bCs/>
        </w:rPr>
      </w:pPr>
      <w:r w:rsidRPr="00140961">
        <w:rPr>
          <w:rFonts w:asciiTheme="majorBidi" w:hAnsiTheme="majorBidi" w:cstheme="majorBidi"/>
          <w:b/>
          <w:bCs/>
        </w:rPr>
        <w:t>Universidad Antonio Nariño</w:t>
      </w:r>
    </w:p>
    <w:p w14:paraId="6482D81E" w14:textId="77777777" w:rsidR="00D12760" w:rsidRDefault="00D12760" w:rsidP="00D12760">
      <w:pPr>
        <w:pStyle w:val="Prrafodelista"/>
        <w:spacing w:line="480" w:lineRule="auto"/>
        <w:jc w:val="center"/>
        <w:rPr>
          <w:rFonts w:asciiTheme="majorBidi" w:hAnsiTheme="majorBidi" w:cstheme="majorBidi"/>
        </w:rPr>
      </w:pPr>
      <w:r w:rsidRPr="00C73086">
        <w:rPr>
          <w:rFonts w:asciiTheme="majorBidi" w:hAnsiTheme="majorBidi" w:cstheme="majorBidi"/>
        </w:rPr>
        <w:t>Programa de Derecho de Familia</w:t>
      </w:r>
    </w:p>
    <w:p w14:paraId="0AA9F621" w14:textId="77777777" w:rsidR="00D12760" w:rsidRPr="00FD7D0B" w:rsidRDefault="00D12760" w:rsidP="00D12760">
      <w:pPr>
        <w:pStyle w:val="Prrafodelista"/>
        <w:spacing w:line="480" w:lineRule="auto"/>
        <w:jc w:val="center"/>
        <w:rPr>
          <w:rFonts w:asciiTheme="majorBidi" w:hAnsiTheme="majorBidi" w:cstheme="majorBidi"/>
        </w:rPr>
      </w:pPr>
      <w:r w:rsidRPr="00FD7D0B">
        <w:rPr>
          <w:rFonts w:asciiTheme="majorBidi" w:hAnsiTheme="majorBidi" w:cstheme="majorBidi"/>
        </w:rPr>
        <w:t xml:space="preserve">Facultad de </w:t>
      </w:r>
      <w:r>
        <w:rPr>
          <w:rFonts w:asciiTheme="majorBidi" w:hAnsiTheme="majorBidi" w:cstheme="majorBidi"/>
        </w:rPr>
        <w:t>Derecho</w:t>
      </w:r>
    </w:p>
    <w:p w14:paraId="355413CD" w14:textId="534E5F17" w:rsidR="00D12760" w:rsidRPr="00FD7D0B" w:rsidRDefault="00D12760" w:rsidP="00D12760">
      <w:pPr>
        <w:pStyle w:val="Prrafodelista"/>
        <w:spacing w:line="480" w:lineRule="auto"/>
        <w:jc w:val="center"/>
        <w:rPr>
          <w:rFonts w:asciiTheme="majorBidi" w:hAnsiTheme="majorBidi" w:cstheme="majorBidi"/>
        </w:rPr>
      </w:pPr>
      <w:r w:rsidRPr="00FD7D0B">
        <w:rPr>
          <w:rFonts w:asciiTheme="majorBidi" w:hAnsiTheme="majorBidi" w:cstheme="majorBidi"/>
        </w:rPr>
        <w:t>Ciudad</w:t>
      </w:r>
      <w:r>
        <w:rPr>
          <w:rFonts w:asciiTheme="majorBidi" w:hAnsiTheme="majorBidi" w:cstheme="majorBidi"/>
        </w:rPr>
        <w:t xml:space="preserve"> Bogotá D.C.</w:t>
      </w:r>
      <w:r w:rsidRPr="00FD7D0B">
        <w:rPr>
          <w:rFonts w:asciiTheme="majorBidi" w:hAnsiTheme="majorBidi" w:cstheme="majorBidi"/>
        </w:rPr>
        <w:t>, Colombia</w:t>
      </w:r>
    </w:p>
    <w:p w14:paraId="758861B5" w14:textId="77777777" w:rsidR="00D12760" w:rsidRPr="00FD7D0B" w:rsidRDefault="00D12760" w:rsidP="00D12760">
      <w:pPr>
        <w:spacing w:line="480" w:lineRule="auto"/>
        <w:jc w:val="center"/>
        <w:rPr>
          <w:rFonts w:asciiTheme="majorBidi" w:eastAsia="Times New Roman" w:hAnsiTheme="majorBidi" w:cstheme="majorBidi"/>
          <w:szCs w:val="24"/>
          <w:lang w:val="es-ES" w:eastAsia="es-ES"/>
        </w:rPr>
      </w:pPr>
      <w:r>
        <w:rPr>
          <w:rFonts w:asciiTheme="majorBidi" w:eastAsia="Times New Roman" w:hAnsiTheme="majorBidi" w:cstheme="majorBidi"/>
          <w:szCs w:val="24"/>
          <w:lang w:val="es-ES" w:eastAsia="es-ES"/>
        </w:rPr>
        <w:t>2023</w:t>
      </w:r>
    </w:p>
    <w:p w14:paraId="5C41DD7E" w14:textId="77777777" w:rsidR="00C86119" w:rsidRDefault="00C86119" w:rsidP="008D19D2">
      <w:pPr>
        <w:spacing w:after="0" w:line="360" w:lineRule="auto"/>
        <w:jc w:val="center"/>
        <w:rPr>
          <w:rFonts w:ascii="Times New Roman" w:hAnsi="Times New Roman" w:cs="Times New Roman"/>
          <w:sz w:val="24"/>
          <w:szCs w:val="24"/>
        </w:rPr>
      </w:pPr>
    </w:p>
    <w:p w14:paraId="602FDE50" w14:textId="77777777" w:rsidR="003E2FF5" w:rsidRDefault="003E2FF5" w:rsidP="008D19D2">
      <w:pPr>
        <w:spacing w:after="0" w:line="360" w:lineRule="auto"/>
        <w:jc w:val="center"/>
        <w:rPr>
          <w:rFonts w:ascii="Times New Roman" w:hAnsi="Times New Roman" w:cs="Times New Roman"/>
          <w:sz w:val="24"/>
          <w:szCs w:val="24"/>
        </w:rPr>
      </w:pPr>
    </w:p>
    <w:p w14:paraId="0181656E" w14:textId="77777777" w:rsidR="00D12760" w:rsidRPr="00D12760" w:rsidRDefault="00D12760" w:rsidP="00D12760">
      <w:pPr>
        <w:spacing w:before="480" w:after="300" w:line="480" w:lineRule="auto"/>
        <w:contextualSpacing/>
        <w:jc w:val="center"/>
        <w:rPr>
          <w:rFonts w:ascii="Times New Roman" w:eastAsia="SimSun" w:hAnsi="Times New Roman" w:cs="Times New Roman"/>
          <w:b/>
          <w:spacing w:val="5"/>
          <w:kern w:val="28"/>
          <w:sz w:val="24"/>
          <w:szCs w:val="24"/>
          <w:lang w:eastAsia="en-US"/>
        </w:rPr>
      </w:pPr>
      <w:r w:rsidRPr="00D12760">
        <w:rPr>
          <w:rFonts w:ascii="Times New Roman" w:eastAsia="SimSun" w:hAnsi="Times New Roman" w:cs="Times New Roman"/>
          <w:b/>
          <w:spacing w:val="5"/>
          <w:kern w:val="28"/>
          <w:sz w:val="24"/>
          <w:szCs w:val="24"/>
          <w:lang w:eastAsia="en-US"/>
        </w:rPr>
        <w:lastRenderedPageBreak/>
        <w:t>El consentimiento de los menores entre 12 y 14 años en los delitos sexuales</w:t>
      </w:r>
    </w:p>
    <w:p w14:paraId="5C1CD9EB" w14:textId="77777777" w:rsidR="00D12760" w:rsidRPr="00D12760" w:rsidRDefault="00D12760" w:rsidP="00D12760">
      <w:pPr>
        <w:spacing w:after="0" w:line="480" w:lineRule="auto"/>
        <w:jc w:val="center"/>
        <w:rPr>
          <w:rFonts w:ascii="Times New Roman" w:hAnsi="Times New Roman" w:cs="Times New Roman"/>
          <w:sz w:val="24"/>
          <w:szCs w:val="24"/>
          <w:lang w:eastAsia="en-US"/>
        </w:rPr>
      </w:pPr>
    </w:p>
    <w:p w14:paraId="59E0F11C" w14:textId="77777777" w:rsidR="00D12760" w:rsidRPr="00D12760" w:rsidRDefault="00D12760" w:rsidP="00D12760">
      <w:pPr>
        <w:spacing w:after="0" w:line="480" w:lineRule="auto"/>
        <w:jc w:val="center"/>
        <w:rPr>
          <w:rFonts w:ascii="Times New Roman" w:hAnsi="Times New Roman" w:cs="Times New Roman"/>
          <w:b/>
          <w:sz w:val="24"/>
          <w:szCs w:val="24"/>
          <w:lang w:eastAsia="en-US"/>
        </w:rPr>
      </w:pPr>
    </w:p>
    <w:p w14:paraId="258E9D82" w14:textId="77777777" w:rsidR="00D12760" w:rsidRPr="00D12760" w:rsidRDefault="00D12760" w:rsidP="00D12760">
      <w:pPr>
        <w:spacing w:after="0" w:line="480" w:lineRule="auto"/>
        <w:jc w:val="center"/>
        <w:rPr>
          <w:rFonts w:ascii="Times New Roman" w:hAnsi="Times New Roman" w:cs="Times New Roman"/>
          <w:b/>
          <w:sz w:val="24"/>
          <w:szCs w:val="24"/>
          <w:lang w:eastAsia="en-US"/>
        </w:rPr>
      </w:pPr>
      <w:r w:rsidRPr="00D12760">
        <w:rPr>
          <w:rFonts w:ascii="Times New Roman" w:hAnsi="Times New Roman" w:cs="Times New Roman"/>
          <w:b/>
          <w:sz w:val="24"/>
          <w:szCs w:val="24"/>
          <w:lang w:eastAsia="en-US"/>
        </w:rPr>
        <w:t>Sandy Paola Villamil Beltrán</w:t>
      </w:r>
    </w:p>
    <w:p w14:paraId="6B3D5200" w14:textId="77777777" w:rsidR="00D12760" w:rsidRPr="00D12760" w:rsidRDefault="00D12760" w:rsidP="00D12760">
      <w:pPr>
        <w:spacing w:after="0" w:line="480" w:lineRule="auto"/>
        <w:jc w:val="center"/>
        <w:rPr>
          <w:rFonts w:ascii="Times New Roman" w:hAnsi="Times New Roman" w:cs="Times New Roman"/>
          <w:sz w:val="24"/>
          <w:szCs w:val="24"/>
          <w:lang w:eastAsia="en-US"/>
        </w:rPr>
      </w:pPr>
    </w:p>
    <w:p w14:paraId="2A7FB8AC" w14:textId="77777777" w:rsidR="00D12760" w:rsidRPr="00D12760" w:rsidRDefault="00D12760" w:rsidP="00D12760">
      <w:pPr>
        <w:spacing w:after="0" w:line="480" w:lineRule="auto"/>
        <w:jc w:val="center"/>
        <w:rPr>
          <w:rFonts w:ascii="Times New Roman" w:hAnsi="Times New Roman" w:cs="Times New Roman"/>
          <w:sz w:val="24"/>
          <w:szCs w:val="24"/>
          <w:lang w:eastAsia="en-US"/>
        </w:rPr>
      </w:pPr>
    </w:p>
    <w:p w14:paraId="00DC5CE7" w14:textId="77777777" w:rsidR="00D12760" w:rsidRPr="00D12760" w:rsidRDefault="00D12760" w:rsidP="00D12760">
      <w:pPr>
        <w:spacing w:after="0" w:line="480" w:lineRule="auto"/>
        <w:jc w:val="center"/>
        <w:rPr>
          <w:rFonts w:ascii="Times New Roman" w:hAnsi="Times New Roman" w:cs="Times New Roman"/>
          <w:sz w:val="24"/>
          <w:szCs w:val="24"/>
          <w:lang w:eastAsia="en-US"/>
        </w:rPr>
      </w:pPr>
    </w:p>
    <w:p w14:paraId="20E4C929" w14:textId="77777777" w:rsidR="00D12760" w:rsidRPr="00D12760" w:rsidRDefault="00D12760" w:rsidP="00D12760">
      <w:pPr>
        <w:spacing w:after="0" w:line="36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Proyecto de grado presentado como requisito parcial para optar al título de:</w:t>
      </w:r>
    </w:p>
    <w:p w14:paraId="0405E910" w14:textId="77777777" w:rsidR="00D12760" w:rsidRPr="00D12760" w:rsidRDefault="00D12760" w:rsidP="00D12760">
      <w:pPr>
        <w:spacing w:after="0" w:line="360" w:lineRule="auto"/>
        <w:jc w:val="center"/>
        <w:rPr>
          <w:rFonts w:ascii="Times New Roman" w:eastAsia="Times New Roman" w:hAnsi="Times New Roman" w:cs="Times New Roman"/>
          <w:b/>
          <w:sz w:val="24"/>
          <w:szCs w:val="24"/>
          <w:lang w:val="es-ES" w:eastAsia="es-ES"/>
        </w:rPr>
      </w:pPr>
      <w:r w:rsidRPr="00D12760">
        <w:rPr>
          <w:rFonts w:ascii="Times New Roman" w:eastAsia="Times New Roman" w:hAnsi="Times New Roman" w:cs="Times New Roman"/>
          <w:b/>
          <w:sz w:val="24"/>
          <w:szCs w:val="24"/>
          <w:lang w:val="es-ES" w:eastAsia="es-ES"/>
        </w:rPr>
        <w:t>Magíster en Derecho de Familia</w:t>
      </w:r>
    </w:p>
    <w:p w14:paraId="71CACE82" w14:textId="77777777" w:rsidR="00D12760" w:rsidRPr="00D12760" w:rsidRDefault="00D12760" w:rsidP="00D12760">
      <w:pPr>
        <w:spacing w:after="0" w:line="480" w:lineRule="auto"/>
        <w:jc w:val="center"/>
        <w:rPr>
          <w:rFonts w:ascii="Times New Roman" w:hAnsi="Times New Roman" w:cs="Times New Roman"/>
          <w:sz w:val="24"/>
          <w:szCs w:val="24"/>
          <w:lang w:eastAsia="en-US"/>
        </w:rPr>
      </w:pPr>
    </w:p>
    <w:p w14:paraId="0C61428F" w14:textId="77777777" w:rsidR="00D12760" w:rsidRPr="00D12760" w:rsidRDefault="00D12760" w:rsidP="00D12760">
      <w:pPr>
        <w:spacing w:after="0" w:line="36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Director (a):</w:t>
      </w:r>
    </w:p>
    <w:p w14:paraId="0A43246C" w14:textId="77777777" w:rsidR="00D12760" w:rsidRPr="00D12760" w:rsidRDefault="00D12760" w:rsidP="00D12760">
      <w:pPr>
        <w:spacing w:after="0" w:line="36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Doctor, Raúl Santacruz López</w:t>
      </w:r>
    </w:p>
    <w:p w14:paraId="39868510" w14:textId="77777777" w:rsidR="00D12760" w:rsidRDefault="00D12760" w:rsidP="00D12760">
      <w:pPr>
        <w:spacing w:after="0" w:line="480" w:lineRule="auto"/>
        <w:jc w:val="center"/>
        <w:rPr>
          <w:rFonts w:ascii="Times New Roman" w:eastAsia="Times New Roman" w:hAnsi="Times New Roman" w:cs="Times New Roman"/>
          <w:sz w:val="24"/>
          <w:szCs w:val="24"/>
          <w:lang w:val="es-ES" w:eastAsia="es-ES"/>
        </w:rPr>
      </w:pPr>
    </w:p>
    <w:p w14:paraId="3C3DE7AC" w14:textId="77777777" w:rsidR="00D12760" w:rsidRPr="00D12760" w:rsidRDefault="00D12760" w:rsidP="00D12760">
      <w:pPr>
        <w:spacing w:after="0" w:line="480" w:lineRule="auto"/>
        <w:jc w:val="center"/>
        <w:rPr>
          <w:rFonts w:ascii="Times New Roman" w:eastAsia="Times New Roman" w:hAnsi="Times New Roman" w:cs="Times New Roman"/>
          <w:sz w:val="24"/>
          <w:szCs w:val="24"/>
          <w:lang w:val="es-ES" w:eastAsia="es-ES"/>
        </w:rPr>
      </w:pPr>
    </w:p>
    <w:p w14:paraId="78AB81F6" w14:textId="77777777" w:rsidR="00D12760" w:rsidRPr="00D12760" w:rsidRDefault="00D12760" w:rsidP="00D12760">
      <w:pPr>
        <w:spacing w:after="0" w:line="36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Línea de Investigación:</w:t>
      </w:r>
    </w:p>
    <w:p w14:paraId="57B57CFF" w14:textId="183EC6B5" w:rsidR="00C83C2C" w:rsidRPr="00C83C2C" w:rsidRDefault="00D12760" w:rsidP="00C83C2C">
      <w:pPr>
        <w:spacing w:after="0" w:line="36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Nombrar la línea de investigación en la que se enmarca el trabajo de grado.</w:t>
      </w:r>
      <w:r w:rsidR="00C83C2C">
        <w:rPr>
          <w:rFonts w:ascii="Times New Roman" w:eastAsia="Times New Roman" w:hAnsi="Times New Roman" w:cs="Times New Roman"/>
          <w:sz w:val="24"/>
          <w:szCs w:val="24"/>
          <w:lang w:val="es-ES" w:eastAsia="es-ES"/>
        </w:rPr>
        <w:t xml:space="preserve">                         </w:t>
      </w:r>
      <w:r w:rsidR="00C83C2C" w:rsidRPr="00C83C2C">
        <w:t xml:space="preserve"> </w:t>
      </w:r>
      <w:r w:rsidR="00C83C2C" w:rsidRPr="00C83C2C">
        <w:rPr>
          <w:rFonts w:ascii="Times New Roman" w:eastAsia="Times New Roman" w:hAnsi="Times New Roman" w:cs="Times New Roman"/>
          <w:sz w:val="24"/>
          <w:szCs w:val="24"/>
          <w:lang w:val="es-ES" w:eastAsia="es-ES"/>
        </w:rPr>
        <w:t>Grupo de Investigación:</w:t>
      </w:r>
    </w:p>
    <w:p w14:paraId="66A5C1B0" w14:textId="688922D8" w:rsidR="00D12760" w:rsidRPr="00D12760" w:rsidRDefault="00C83C2C" w:rsidP="00C83C2C">
      <w:pPr>
        <w:spacing w:after="0" w:line="360" w:lineRule="auto"/>
        <w:jc w:val="center"/>
        <w:rPr>
          <w:rFonts w:ascii="Times New Roman" w:eastAsia="Times New Roman" w:hAnsi="Times New Roman" w:cs="Times New Roman"/>
          <w:sz w:val="24"/>
          <w:szCs w:val="24"/>
          <w:lang w:val="es-ES" w:eastAsia="es-ES"/>
        </w:rPr>
      </w:pPr>
      <w:r w:rsidRPr="00C83C2C">
        <w:rPr>
          <w:rFonts w:ascii="Times New Roman" w:eastAsia="Times New Roman" w:hAnsi="Times New Roman" w:cs="Times New Roman"/>
          <w:sz w:val="24"/>
          <w:szCs w:val="24"/>
          <w:lang w:val="es-ES" w:eastAsia="es-ES"/>
        </w:rPr>
        <w:t>Nombrar el grupo en caso de que sea posible</w:t>
      </w:r>
    </w:p>
    <w:p w14:paraId="05608780" w14:textId="77777777" w:rsidR="00D12760" w:rsidRDefault="00D12760" w:rsidP="00D12760">
      <w:pPr>
        <w:spacing w:after="0" w:line="360" w:lineRule="auto"/>
        <w:jc w:val="center"/>
        <w:rPr>
          <w:rFonts w:ascii="Times New Roman" w:eastAsia="Times New Roman" w:hAnsi="Times New Roman" w:cs="Times New Roman"/>
          <w:sz w:val="24"/>
          <w:szCs w:val="24"/>
          <w:lang w:val="es-ES" w:eastAsia="es-ES"/>
        </w:rPr>
      </w:pPr>
    </w:p>
    <w:p w14:paraId="21DE596F" w14:textId="77777777" w:rsidR="002F3679" w:rsidRPr="00D12760" w:rsidRDefault="002F3679" w:rsidP="00C83C2C">
      <w:pPr>
        <w:spacing w:after="0" w:line="360" w:lineRule="auto"/>
        <w:rPr>
          <w:rFonts w:ascii="Times New Roman" w:eastAsia="Times New Roman" w:hAnsi="Times New Roman" w:cs="Times New Roman"/>
          <w:sz w:val="24"/>
          <w:szCs w:val="24"/>
          <w:lang w:val="es-ES" w:eastAsia="es-ES"/>
        </w:rPr>
      </w:pPr>
    </w:p>
    <w:p w14:paraId="633AF837" w14:textId="77777777" w:rsidR="00D12760" w:rsidRPr="00D12760" w:rsidRDefault="00D12760" w:rsidP="00D12760">
      <w:pPr>
        <w:spacing w:after="0" w:line="480" w:lineRule="auto"/>
        <w:jc w:val="center"/>
        <w:rPr>
          <w:rFonts w:ascii="Times New Roman" w:eastAsia="Times New Roman" w:hAnsi="Times New Roman" w:cs="Times New Roman"/>
          <w:sz w:val="24"/>
          <w:szCs w:val="24"/>
          <w:lang w:val="es-ES" w:eastAsia="es-ES"/>
        </w:rPr>
      </w:pPr>
    </w:p>
    <w:p w14:paraId="68513117" w14:textId="77777777" w:rsidR="00D12760" w:rsidRPr="00D12760" w:rsidRDefault="00D12760" w:rsidP="00D12760">
      <w:pPr>
        <w:spacing w:after="0" w:line="480" w:lineRule="auto"/>
        <w:jc w:val="center"/>
        <w:rPr>
          <w:rFonts w:ascii="Times New Roman" w:eastAsia="Times New Roman" w:hAnsi="Times New Roman" w:cs="Times New Roman"/>
          <w:b/>
          <w:bCs/>
          <w:sz w:val="24"/>
          <w:szCs w:val="24"/>
          <w:lang w:val="es-ES" w:eastAsia="es-ES"/>
        </w:rPr>
      </w:pPr>
      <w:r w:rsidRPr="00D12760">
        <w:rPr>
          <w:rFonts w:ascii="Times New Roman" w:eastAsia="Times New Roman" w:hAnsi="Times New Roman" w:cs="Times New Roman"/>
          <w:b/>
          <w:bCs/>
          <w:sz w:val="24"/>
          <w:szCs w:val="24"/>
          <w:lang w:val="es-ES" w:eastAsia="es-ES"/>
        </w:rPr>
        <w:t>Universidad Antonio Nariño</w:t>
      </w:r>
    </w:p>
    <w:p w14:paraId="0DD53AC4" w14:textId="42A2429F" w:rsidR="00D12760" w:rsidRPr="00D12760" w:rsidRDefault="00D12760" w:rsidP="00D12760">
      <w:pPr>
        <w:spacing w:after="0" w:line="48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 xml:space="preserve">Programa </w:t>
      </w:r>
      <w:r>
        <w:rPr>
          <w:rFonts w:ascii="Times New Roman" w:eastAsia="Times New Roman" w:hAnsi="Times New Roman" w:cs="Times New Roman"/>
          <w:sz w:val="24"/>
          <w:szCs w:val="24"/>
          <w:lang w:val="es-ES" w:eastAsia="es-ES"/>
        </w:rPr>
        <w:t>de Derecho de Familia</w:t>
      </w:r>
    </w:p>
    <w:p w14:paraId="483C2AE6" w14:textId="2183F309" w:rsidR="00D12760" w:rsidRPr="00D12760" w:rsidRDefault="00D12760" w:rsidP="00D12760">
      <w:pPr>
        <w:spacing w:after="0" w:line="48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 xml:space="preserve">Facultad de </w:t>
      </w:r>
      <w:r>
        <w:rPr>
          <w:rFonts w:ascii="Times New Roman" w:eastAsia="Times New Roman" w:hAnsi="Times New Roman" w:cs="Times New Roman"/>
          <w:sz w:val="24"/>
          <w:szCs w:val="24"/>
          <w:lang w:val="es-ES" w:eastAsia="es-ES"/>
        </w:rPr>
        <w:t>Derecho</w:t>
      </w:r>
    </w:p>
    <w:p w14:paraId="47468E26" w14:textId="4F3AAB29" w:rsidR="00D12760" w:rsidRPr="00D12760" w:rsidRDefault="00D12760" w:rsidP="00D12760">
      <w:pPr>
        <w:spacing w:after="0" w:line="480" w:lineRule="auto"/>
        <w:jc w:val="center"/>
        <w:rPr>
          <w:rFonts w:ascii="Times New Roman" w:eastAsia="Times New Roman" w:hAnsi="Times New Roman" w:cs="Times New Roman"/>
          <w:sz w:val="24"/>
          <w:szCs w:val="24"/>
          <w:lang w:val="es-ES" w:eastAsia="es-ES"/>
        </w:rPr>
      </w:pPr>
      <w:r w:rsidRPr="00D12760">
        <w:rPr>
          <w:rFonts w:ascii="Times New Roman" w:eastAsia="Times New Roman" w:hAnsi="Times New Roman" w:cs="Times New Roman"/>
          <w:sz w:val="24"/>
          <w:szCs w:val="24"/>
          <w:lang w:val="es-ES" w:eastAsia="es-ES"/>
        </w:rPr>
        <w:t>Ciudad</w:t>
      </w:r>
      <w:r>
        <w:rPr>
          <w:rFonts w:ascii="Times New Roman" w:eastAsia="Times New Roman" w:hAnsi="Times New Roman" w:cs="Times New Roman"/>
          <w:sz w:val="24"/>
          <w:szCs w:val="24"/>
          <w:lang w:val="es-ES" w:eastAsia="es-ES"/>
        </w:rPr>
        <w:t xml:space="preserve"> de Bogotá D.C.</w:t>
      </w:r>
      <w:r w:rsidRPr="00D12760">
        <w:rPr>
          <w:rFonts w:ascii="Times New Roman" w:eastAsia="Times New Roman" w:hAnsi="Times New Roman" w:cs="Times New Roman"/>
          <w:sz w:val="24"/>
          <w:szCs w:val="24"/>
          <w:lang w:val="es-ES" w:eastAsia="es-ES"/>
        </w:rPr>
        <w:t>, Colombia</w:t>
      </w:r>
    </w:p>
    <w:p w14:paraId="78C8246A" w14:textId="4A455C21" w:rsidR="00D12760" w:rsidRPr="00D12760" w:rsidRDefault="00D12760" w:rsidP="00D12760">
      <w:pPr>
        <w:spacing w:after="200" w:line="48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2023</w:t>
      </w:r>
    </w:p>
    <w:p w14:paraId="773B9C62" w14:textId="77777777" w:rsidR="00D12760" w:rsidRPr="00D12760" w:rsidRDefault="00D12760" w:rsidP="00D12760">
      <w:pPr>
        <w:jc w:val="right"/>
        <w:rPr>
          <w:rFonts w:ascii="Times New Roman" w:hAnsi="Times New Roman" w:cs="Times New Roman"/>
          <w:b/>
          <w:sz w:val="24"/>
          <w:szCs w:val="24"/>
        </w:rPr>
      </w:pPr>
      <w:r w:rsidRPr="00D12760">
        <w:rPr>
          <w:rFonts w:ascii="Times New Roman" w:hAnsi="Times New Roman" w:cs="Times New Roman"/>
          <w:b/>
          <w:sz w:val="24"/>
          <w:szCs w:val="24"/>
        </w:rPr>
        <w:lastRenderedPageBreak/>
        <w:t>NOTA</w:t>
      </w:r>
      <w:r w:rsidRPr="00D12760">
        <w:rPr>
          <w:rFonts w:ascii="Times New Roman" w:hAnsi="Times New Roman" w:cs="Times New Roman"/>
          <w:b/>
          <w:spacing w:val="-7"/>
          <w:sz w:val="24"/>
          <w:szCs w:val="24"/>
        </w:rPr>
        <w:t xml:space="preserve"> </w:t>
      </w:r>
      <w:r w:rsidRPr="00D12760">
        <w:rPr>
          <w:rFonts w:ascii="Times New Roman" w:hAnsi="Times New Roman" w:cs="Times New Roman"/>
          <w:b/>
          <w:sz w:val="24"/>
          <w:szCs w:val="24"/>
        </w:rPr>
        <w:t>DE</w:t>
      </w:r>
      <w:r w:rsidRPr="00D12760">
        <w:rPr>
          <w:rFonts w:ascii="Times New Roman" w:hAnsi="Times New Roman" w:cs="Times New Roman"/>
          <w:b/>
          <w:spacing w:val="-7"/>
          <w:sz w:val="24"/>
          <w:szCs w:val="24"/>
        </w:rPr>
        <w:t xml:space="preserve"> </w:t>
      </w:r>
      <w:r w:rsidRPr="00D12760">
        <w:rPr>
          <w:rFonts w:ascii="Times New Roman" w:hAnsi="Times New Roman" w:cs="Times New Roman"/>
          <w:b/>
          <w:sz w:val="24"/>
          <w:szCs w:val="24"/>
        </w:rPr>
        <w:t>ACEPTACIÓN</w:t>
      </w:r>
    </w:p>
    <w:p w14:paraId="44EB4F71" w14:textId="77777777" w:rsidR="00D12760" w:rsidRPr="00D12760" w:rsidRDefault="00D12760" w:rsidP="00D12760">
      <w:pPr>
        <w:pStyle w:val="Textoindependiente"/>
        <w:rPr>
          <w:rFonts w:ascii="Times New Roman" w:hAnsi="Times New Roman" w:cs="Times New Roman"/>
          <w:b/>
          <w:szCs w:val="24"/>
        </w:rPr>
      </w:pPr>
    </w:p>
    <w:p w14:paraId="12537500" w14:textId="77777777" w:rsidR="00D12760" w:rsidRPr="00D12760" w:rsidRDefault="00D12760" w:rsidP="00D12760">
      <w:pPr>
        <w:pStyle w:val="Textoindependiente"/>
        <w:rPr>
          <w:rFonts w:ascii="Times New Roman" w:hAnsi="Times New Roman" w:cs="Times New Roman"/>
          <w:b/>
          <w:szCs w:val="24"/>
        </w:rPr>
      </w:pPr>
    </w:p>
    <w:p w14:paraId="26BC3766" w14:textId="77777777" w:rsidR="00D12760" w:rsidRPr="00D12760" w:rsidRDefault="00D12760" w:rsidP="00D12760">
      <w:pPr>
        <w:pStyle w:val="Textoindependiente"/>
        <w:rPr>
          <w:rFonts w:ascii="Times New Roman" w:hAnsi="Times New Roman" w:cs="Times New Roman"/>
          <w:b/>
          <w:szCs w:val="24"/>
        </w:rPr>
      </w:pPr>
    </w:p>
    <w:p w14:paraId="1DA618F3" w14:textId="77777777" w:rsidR="00D12760" w:rsidRPr="00D12760" w:rsidRDefault="00D12760" w:rsidP="00D12760">
      <w:pPr>
        <w:pStyle w:val="Textoindependiente"/>
        <w:rPr>
          <w:rFonts w:ascii="Times New Roman" w:hAnsi="Times New Roman" w:cs="Times New Roman"/>
          <w:b/>
          <w:szCs w:val="24"/>
        </w:rPr>
      </w:pPr>
    </w:p>
    <w:p w14:paraId="0817F467" w14:textId="77777777" w:rsidR="00D12760" w:rsidRPr="00D12760" w:rsidRDefault="00D12760" w:rsidP="00D12760">
      <w:pPr>
        <w:pStyle w:val="Textoindependiente"/>
        <w:rPr>
          <w:rFonts w:ascii="Times New Roman" w:hAnsi="Times New Roman" w:cs="Times New Roman"/>
          <w:b/>
          <w:szCs w:val="24"/>
        </w:rPr>
      </w:pPr>
    </w:p>
    <w:p w14:paraId="1A07C9E5" w14:textId="77777777" w:rsidR="00D12760" w:rsidRPr="00D12760" w:rsidRDefault="00D12760" w:rsidP="00D12760">
      <w:pPr>
        <w:pStyle w:val="Textoindependiente"/>
        <w:spacing w:before="10"/>
        <w:rPr>
          <w:rFonts w:ascii="Times New Roman" w:hAnsi="Times New Roman" w:cs="Times New Roman"/>
          <w:b/>
          <w:szCs w:val="24"/>
        </w:rPr>
      </w:pPr>
    </w:p>
    <w:p w14:paraId="190ABF4E" w14:textId="77777777" w:rsidR="00790B0C" w:rsidRDefault="00D12760" w:rsidP="00D12760">
      <w:pPr>
        <w:pStyle w:val="Textoindependiente"/>
        <w:spacing w:line="360" w:lineRule="auto"/>
        <w:ind w:left="3497" w:right="116" w:hanging="408"/>
        <w:jc w:val="right"/>
        <w:rPr>
          <w:rFonts w:ascii="Times New Roman" w:hAnsi="Times New Roman" w:cs="Times New Roman"/>
          <w:szCs w:val="24"/>
        </w:rPr>
      </w:pPr>
      <w:r w:rsidRPr="00D12760">
        <w:rPr>
          <w:rFonts w:ascii="Times New Roman" w:hAnsi="Times New Roman" w:cs="Times New Roman"/>
          <w:szCs w:val="24"/>
        </w:rPr>
        <w:t>El trabajo de grado titulado</w:t>
      </w:r>
      <w:r w:rsidR="00790B0C">
        <w:rPr>
          <w:rFonts w:ascii="Times New Roman" w:hAnsi="Times New Roman" w:cs="Times New Roman"/>
          <w:szCs w:val="24"/>
        </w:rPr>
        <w:t>: El consentimiento de los menores entre 12 y 14 años en los delitos sexuales</w:t>
      </w:r>
      <w:r w:rsidR="00790B0C" w:rsidRPr="00D12760">
        <w:rPr>
          <w:rFonts w:ascii="Times New Roman" w:hAnsi="Times New Roman" w:cs="Times New Roman"/>
          <w:szCs w:val="24"/>
        </w:rPr>
        <w:t>,</w:t>
      </w:r>
      <w:r w:rsidR="00790B0C">
        <w:rPr>
          <w:rFonts w:ascii="Times New Roman" w:hAnsi="Times New Roman" w:cs="Times New Roman"/>
          <w:szCs w:val="24"/>
        </w:rPr>
        <w:t xml:space="preserve">  </w:t>
      </w:r>
      <w:r>
        <w:rPr>
          <w:rFonts w:ascii="Times New Roman" w:hAnsi="Times New Roman" w:cs="Times New Roman"/>
          <w:szCs w:val="24"/>
        </w:rPr>
        <w:t xml:space="preserve"> </w:t>
      </w:r>
    </w:p>
    <w:p w14:paraId="2C57DDC9" w14:textId="77777777" w:rsidR="00790B0C" w:rsidRDefault="00790B0C" w:rsidP="00D12760">
      <w:pPr>
        <w:pStyle w:val="Textoindependiente"/>
        <w:spacing w:line="360" w:lineRule="auto"/>
        <w:ind w:left="3497" w:right="116" w:hanging="408"/>
        <w:jc w:val="right"/>
        <w:rPr>
          <w:rFonts w:ascii="Times New Roman" w:hAnsi="Times New Roman" w:cs="Times New Roman"/>
          <w:szCs w:val="24"/>
        </w:rPr>
      </w:pPr>
    </w:p>
    <w:p w14:paraId="37D90BB1" w14:textId="4C59CE9B" w:rsidR="00D12760" w:rsidRPr="00D12760" w:rsidRDefault="00D12760" w:rsidP="00D12760">
      <w:pPr>
        <w:pStyle w:val="Textoindependiente"/>
        <w:spacing w:line="360" w:lineRule="auto"/>
        <w:ind w:left="3497" w:right="116" w:hanging="408"/>
        <w:jc w:val="right"/>
        <w:rPr>
          <w:rFonts w:ascii="Times New Roman" w:hAnsi="Times New Roman" w:cs="Times New Roman"/>
          <w:szCs w:val="24"/>
        </w:rPr>
      </w:pPr>
      <w:r>
        <w:rPr>
          <w:rFonts w:ascii="Times New Roman" w:hAnsi="Times New Roman" w:cs="Times New Roman"/>
          <w:szCs w:val="24"/>
        </w:rPr>
        <w:t xml:space="preserve">  </w:t>
      </w:r>
      <w:r w:rsidRPr="00D12760">
        <w:rPr>
          <w:rFonts w:ascii="Times New Roman" w:hAnsi="Times New Roman" w:cs="Times New Roman"/>
          <w:spacing w:val="-3"/>
          <w:szCs w:val="24"/>
        </w:rPr>
        <w:t xml:space="preserve"> </w:t>
      </w:r>
      <w:r w:rsidRPr="00D12760">
        <w:rPr>
          <w:rFonts w:ascii="Times New Roman" w:hAnsi="Times New Roman" w:cs="Times New Roman"/>
          <w:szCs w:val="24"/>
        </w:rPr>
        <w:t>Cumple</w:t>
      </w:r>
      <w:r w:rsidRPr="00D12760">
        <w:rPr>
          <w:rFonts w:ascii="Times New Roman" w:hAnsi="Times New Roman" w:cs="Times New Roman"/>
          <w:spacing w:val="-3"/>
          <w:szCs w:val="24"/>
        </w:rPr>
        <w:t xml:space="preserve"> </w:t>
      </w:r>
      <w:r w:rsidRPr="00D12760">
        <w:rPr>
          <w:rFonts w:ascii="Times New Roman" w:hAnsi="Times New Roman" w:cs="Times New Roman"/>
          <w:szCs w:val="24"/>
        </w:rPr>
        <w:t>con</w:t>
      </w:r>
      <w:r w:rsidRPr="00D12760">
        <w:rPr>
          <w:rFonts w:ascii="Times New Roman" w:hAnsi="Times New Roman" w:cs="Times New Roman"/>
          <w:spacing w:val="-4"/>
          <w:szCs w:val="24"/>
        </w:rPr>
        <w:t xml:space="preserve"> </w:t>
      </w:r>
      <w:r w:rsidRPr="00D12760">
        <w:rPr>
          <w:rFonts w:ascii="Times New Roman" w:hAnsi="Times New Roman" w:cs="Times New Roman"/>
          <w:szCs w:val="24"/>
        </w:rPr>
        <w:t>los</w:t>
      </w:r>
      <w:r w:rsidRPr="00D12760">
        <w:rPr>
          <w:rFonts w:ascii="Times New Roman" w:hAnsi="Times New Roman" w:cs="Times New Roman"/>
          <w:spacing w:val="-3"/>
          <w:szCs w:val="24"/>
        </w:rPr>
        <w:t xml:space="preserve"> </w:t>
      </w:r>
      <w:r w:rsidRPr="00D12760">
        <w:rPr>
          <w:rFonts w:ascii="Times New Roman" w:hAnsi="Times New Roman" w:cs="Times New Roman"/>
          <w:szCs w:val="24"/>
        </w:rPr>
        <w:t>requisitos</w:t>
      </w:r>
      <w:r w:rsidRPr="00D12760">
        <w:rPr>
          <w:rFonts w:ascii="Times New Roman" w:hAnsi="Times New Roman" w:cs="Times New Roman"/>
          <w:spacing w:val="-2"/>
          <w:szCs w:val="24"/>
        </w:rPr>
        <w:t xml:space="preserve"> </w:t>
      </w:r>
      <w:r w:rsidRPr="00D12760">
        <w:rPr>
          <w:rFonts w:ascii="Times New Roman" w:hAnsi="Times New Roman" w:cs="Times New Roman"/>
          <w:szCs w:val="24"/>
        </w:rPr>
        <w:t>para</w:t>
      </w:r>
      <w:r w:rsidRPr="00D12760">
        <w:rPr>
          <w:rFonts w:ascii="Times New Roman" w:hAnsi="Times New Roman" w:cs="Times New Roman"/>
          <w:spacing w:val="-4"/>
          <w:szCs w:val="24"/>
        </w:rPr>
        <w:t xml:space="preserve"> </w:t>
      </w:r>
      <w:r w:rsidRPr="00D12760">
        <w:rPr>
          <w:rFonts w:ascii="Times New Roman" w:hAnsi="Times New Roman" w:cs="Times New Roman"/>
          <w:szCs w:val="24"/>
        </w:rPr>
        <w:t>optar</w:t>
      </w:r>
    </w:p>
    <w:p w14:paraId="1CA2534E" w14:textId="69E80D1B" w:rsidR="00D12760" w:rsidRPr="00D12760" w:rsidRDefault="00D12760" w:rsidP="00D12760">
      <w:pPr>
        <w:pStyle w:val="Textoindependiente"/>
        <w:spacing w:before="1" w:line="360" w:lineRule="auto"/>
        <w:ind w:right="116"/>
        <w:jc w:val="right"/>
        <w:rPr>
          <w:rFonts w:ascii="Times New Roman" w:hAnsi="Times New Roman" w:cs="Times New Roman"/>
          <w:szCs w:val="24"/>
        </w:rPr>
      </w:pPr>
      <w:r w:rsidRPr="00D12760">
        <w:rPr>
          <w:rFonts w:ascii="Times New Roman" w:hAnsi="Times New Roman" w:cs="Times New Roman"/>
          <w:szCs w:val="24"/>
        </w:rPr>
        <w:t>Al</w:t>
      </w:r>
      <w:r w:rsidRPr="00D12760">
        <w:rPr>
          <w:rFonts w:ascii="Times New Roman" w:hAnsi="Times New Roman" w:cs="Times New Roman"/>
          <w:spacing w:val="-4"/>
          <w:szCs w:val="24"/>
        </w:rPr>
        <w:t xml:space="preserve"> </w:t>
      </w:r>
      <w:r w:rsidRPr="00D12760">
        <w:rPr>
          <w:rFonts w:ascii="Times New Roman" w:hAnsi="Times New Roman" w:cs="Times New Roman"/>
          <w:szCs w:val="24"/>
        </w:rPr>
        <w:t>título</w:t>
      </w:r>
      <w:r w:rsidRPr="00D12760">
        <w:rPr>
          <w:rFonts w:ascii="Times New Roman" w:hAnsi="Times New Roman" w:cs="Times New Roman"/>
          <w:spacing w:val="-3"/>
          <w:szCs w:val="24"/>
        </w:rPr>
        <w:t xml:space="preserve"> </w:t>
      </w:r>
      <w:r w:rsidRPr="00D12760">
        <w:rPr>
          <w:rFonts w:ascii="Times New Roman" w:hAnsi="Times New Roman" w:cs="Times New Roman"/>
          <w:szCs w:val="24"/>
        </w:rPr>
        <w:t>de</w:t>
      </w:r>
      <w:r w:rsidRPr="00D12760">
        <w:rPr>
          <w:rFonts w:ascii="Times New Roman" w:hAnsi="Times New Roman" w:cs="Times New Roman"/>
          <w:spacing w:val="-2"/>
          <w:szCs w:val="24"/>
        </w:rPr>
        <w:t xml:space="preserve"> </w:t>
      </w:r>
      <w:r w:rsidR="00790B0C">
        <w:rPr>
          <w:rFonts w:ascii="Times New Roman" w:hAnsi="Times New Roman" w:cs="Times New Roman"/>
          <w:szCs w:val="24"/>
        </w:rPr>
        <w:t>Magister en Derecho de Familia</w:t>
      </w:r>
      <w:r w:rsidRPr="00D12760">
        <w:rPr>
          <w:rFonts w:ascii="Times New Roman" w:hAnsi="Times New Roman" w:cs="Times New Roman"/>
          <w:szCs w:val="24"/>
        </w:rPr>
        <w:t>.</w:t>
      </w:r>
    </w:p>
    <w:p w14:paraId="1A628E30" w14:textId="77777777" w:rsidR="00D12760" w:rsidRPr="00D12760" w:rsidRDefault="00D12760" w:rsidP="00D12760">
      <w:pPr>
        <w:pStyle w:val="Textoindependiente"/>
        <w:spacing w:line="360" w:lineRule="auto"/>
        <w:rPr>
          <w:rFonts w:ascii="Times New Roman" w:hAnsi="Times New Roman" w:cs="Times New Roman"/>
          <w:szCs w:val="24"/>
        </w:rPr>
      </w:pPr>
    </w:p>
    <w:p w14:paraId="51F5796A" w14:textId="77777777" w:rsidR="00D12760" w:rsidRPr="00D12760" w:rsidRDefault="00D12760" w:rsidP="00D12760">
      <w:pPr>
        <w:pStyle w:val="Textoindependiente"/>
        <w:rPr>
          <w:rFonts w:ascii="Times New Roman" w:hAnsi="Times New Roman" w:cs="Times New Roman"/>
          <w:szCs w:val="24"/>
        </w:rPr>
      </w:pPr>
    </w:p>
    <w:p w14:paraId="513FB744" w14:textId="77777777" w:rsidR="00D12760" w:rsidRPr="00D12760" w:rsidRDefault="00D12760" w:rsidP="00D12760">
      <w:pPr>
        <w:pStyle w:val="Textoindependiente"/>
        <w:rPr>
          <w:rFonts w:ascii="Times New Roman" w:hAnsi="Times New Roman" w:cs="Times New Roman"/>
          <w:szCs w:val="24"/>
        </w:rPr>
      </w:pPr>
    </w:p>
    <w:p w14:paraId="3CE72E1E" w14:textId="77777777" w:rsidR="00D12760" w:rsidRPr="00D12760" w:rsidRDefault="00D12760" w:rsidP="00D12760">
      <w:pPr>
        <w:pStyle w:val="Textoindependiente"/>
        <w:rPr>
          <w:rFonts w:ascii="Times New Roman" w:hAnsi="Times New Roman" w:cs="Times New Roman"/>
          <w:szCs w:val="24"/>
        </w:rPr>
      </w:pPr>
    </w:p>
    <w:p w14:paraId="0BE0FA5C" w14:textId="77777777" w:rsidR="00D12760" w:rsidRPr="00D12760" w:rsidRDefault="00D12760" w:rsidP="00D12760">
      <w:pPr>
        <w:pStyle w:val="Textoindependiente"/>
        <w:rPr>
          <w:rFonts w:ascii="Times New Roman" w:hAnsi="Times New Roman" w:cs="Times New Roman"/>
          <w:szCs w:val="24"/>
        </w:rPr>
      </w:pPr>
    </w:p>
    <w:p w14:paraId="50F15D82" w14:textId="77777777" w:rsidR="00D12760" w:rsidRPr="00D12760" w:rsidRDefault="00D12760" w:rsidP="00D12760">
      <w:pPr>
        <w:pStyle w:val="Textoindependiente"/>
        <w:spacing w:before="6"/>
        <w:rPr>
          <w:rFonts w:ascii="Times New Roman" w:hAnsi="Times New Roman" w:cs="Times New Roman"/>
          <w:szCs w:val="24"/>
        </w:rPr>
      </w:pPr>
      <w:r w:rsidRPr="00D12760">
        <w:rPr>
          <w:rFonts w:ascii="Times New Roman" w:hAnsi="Times New Roman" w:cs="Times New Roman"/>
          <w:noProof/>
          <w:szCs w:val="24"/>
          <w:lang w:val="es-CO" w:eastAsia="es-CO"/>
        </w:rPr>
        <mc:AlternateContent>
          <mc:Choice Requires="wps">
            <w:drawing>
              <wp:anchor distT="0" distB="0" distL="0" distR="0" simplePos="0" relativeHeight="251659264" behindDoc="1" locked="0" layoutInCell="1" allowOverlap="1" wp14:anchorId="009458EF" wp14:editId="5624691E">
                <wp:simplePos x="0" y="0"/>
                <wp:positionH relativeFrom="page">
                  <wp:posOffset>3811270</wp:posOffset>
                </wp:positionH>
                <wp:positionV relativeFrom="paragraph">
                  <wp:posOffset>182245</wp:posOffset>
                </wp:positionV>
                <wp:extent cx="2880360" cy="1270"/>
                <wp:effectExtent l="10795" t="14605" r="13970" b="12700"/>
                <wp:wrapTopAndBottom/>
                <wp:docPr id="7"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6B65" id="Forma libre: forma 3" o:spid="_x0000_s1026" style="position:absolute;margin-left:300.1pt;margin-top:14.35pt;width:22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" path="m,l4536,e" filled="f" strokeweight=".37678mm">
                <v:path arrowok="t" o:connecttype="custom" o:connectlocs="0,0;2880360,0" o:connectangles="0,0"/>
                <w10:wrap type="topAndBottom" anchorx="page"/>
              </v:shape>
            </w:pict>
          </mc:Fallback>
        </mc:AlternateContent>
      </w:r>
    </w:p>
    <w:p w14:paraId="569D2602" w14:textId="77777777" w:rsidR="00D12760" w:rsidRPr="00D12760" w:rsidRDefault="00D12760" w:rsidP="00D12760">
      <w:pPr>
        <w:pStyle w:val="Textoindependiente"/>
        <w:spacing w:before="41"/>
        <w:ind w:right="116"/>
        <w:jc w:val="right"/>
        <w:rPr>
          <w:rFonts w:ascii="Times New Roman" w:hAnsi="Times New Roman" w:cs="Times New Roman"/>
          <w:szCs w:val="24"/>
        </w:rPr>
      </w:pPr>
      <w:r w:rsidRPr="00D12760">
        <w:rPr>
          <w:rFonts w:ascii="Times New Roman" w:hAnsi="Times New Roman" w:cs="Times New Roman"/>
          <w:szCs w:val="24"/>
        </w:rPr>
        <w:t>Firma</w:t>
      </w:r>
      <w:r w:rsidRPr="00D12760">
        <w:rPr>
          <w:rFonts w:ascii="Times New Roman" w:hAnsi="Times New Roman" w:cs="Times New Roman"/>
          <w:spacing w:val="-3"/>
          <w:szCs w:val="24"/>
        </w:rPr>
        <w:t xml:space="preserve"> </w:t>
      </w:r>
      <w:r w:rsidRPr="00D12760">
        <w:rPr>
          <w:rFonts w:ascii="Times New Roman" w:hAnsi="Times New Roman" w:cs="Times New Roman"/>
          <w:szCs w:val="24"/>
        </w:rPr>
        <w:t>del</w:t>
      </w:r>
      <w:r w:rsidRPr="00D12760">
        <w:rPr>
          <w:rFonts w:ascii="Times New Roman" w:hAnsi="Times New Roman" w:cs="Times New Roman"/>
          <w:spacing w:val="-1"/>
          <w:szCs w:val="24"/>
        </w:rPr>
        <w:t xml:space="preserve"> </w:t>
      </w:r>
      <w:r w:rsidRPr="00D12760">
        <w:rPr>
          <w:rFonts w:ascii="Times New Roman" w:hAnsi="Times New Roman" w:cs="Times New Roman"/>
          <w:szCs w:val="24"/>
        </w:rPr>
        <w:t>Tutor</w:t>
      </w:r>
    </w:p>
    <w:p w14:paraId="65C7F623" w14:textId="77777777" w:rsidR="00D12760" w:rsidRPr="00D12760" w:rsidRDefault="00D12760" w:rsidP="00D12760">
      <w:pPr>
        <w:pStyle w:val="Textoindependiente"/>
        <w:rPr>
          <w:rFonts w:ascii="Times New Roman" w:hAnsi="Times New Roman" w:cs="Times New Roman"/>
          <w:szCs w:val="24"/>
        </w:rPr>
      </w:pPr>
    </w:p>
    <w:p w14:paraId="433A8DA2" w14:textId="77777777" w:rsidR="00D12760" w:rsidRPr="00D12760" w:rsidRDefault="00D12760" w:rsidP="00D12760">
      <w:pPr>
        <w:pStyle w:val="Textoindependiente"/>
        <w:rPr>
          <w:rFonts w:ascii="Times New Roman" w:hAnsi="Times New Roman" w:cs="Times New Roman"/>
          <w:szCs w:val="24"/>
        </w:rPr>
      </w:pPr>
    </w:p>
    <w:p w14:paraId="38584F6D" w14:textId="77777777" w:rsidR="00D12760" w:rsidRPr="00D12760" w:rsidRDefault="00D12760" w:rsidP="00D12760">
      <w:pPr>
        <w:pStyle w:val="Textoindependiente"/>
        <w:rPr>
          <w:rFonts w:ascii="Times New Roman" w:hAnsi="Times New Roman" w:cs="Times New Roman"/>
          <w:szCs w:val="24"/>
        </w:rPr>
      </w:pPr>
    </w:p>
    <w:p w14:paraId="2EEBDEB1" w14:textId="77777777" w:rsidR="00D12760" w:rsidRPr="00D12760" w:rsidRDefault="00D12760" w:rsidP="00D12760">
      <w:pPr>
        <w:pStyle w:val="Textoindependiente"/>
        <w:rPr>
          <w:rFonts w:ascii="Times New Roman" w:hAnsi="Times New Roman" w:cs="Times New Roman"/>
          <w:szCs w:val="24"/>
        </w:rPr>
      </w:pPr>
    </w:p>
    <w:p w14:paraId="29CAFAD4" w14:textId="77777777" w:rsidR="00D12760" w:rsidRPr="00D12760" w:rsidRDefault="00D12760" w:rsidP="00D12760">
      <w:pPr>
        <w:pStyle w:val="Textoindependiente"/>
        <w:rPr>
          <w:rFonts w:ascii="Times New Roman" w:hAnsi="Times New Roman" w:cs="Times New Roman"/>
          <w:szCs w:val="24"/>
        </w:rPr>
      </w:pPr>
    </w:p>
    <w:p w14:paraId="6B055847" w14:textId="77777777" w:rsidR="00D12760" w:rsidRPr="00D12760" w:rsidRDefault="00D12760" w:rsidP="00D12760">
      <w:pPr>
        <w:pStyle w:val="Textoindependiente"/>
        <w:spacing w:before="6"/>
        <w:rPr>
          <w:rFonts w:ascii="Times New Roman" w:hAnsi="Times New Roman" w:cs="Times New Roman"/>
          <w:szCs w:val="24"/>
        </w:rPr>
      </w:pPr>
      <w:r w:rsidRPr="00D12760">
        <w:rPr>
          <w:rFonts w:ascii="Times New Roman" w:hAnsi="Times New Roman" w:cs="Times New Roman"/>
          <w:noProof/>
          <w:szCs w:val="24"/>
          <w:lang w:val="es-CO" w:eastAsia="es-CO"/>
        </w:rPr>
        <mc:AlternateContent>
          <mc:Choice Requires="wps">
            <w:drawing>
              <wp:anchor distT="0" distB="0" distL="0" distR="0" simplePos="0" relativeHeight="251660288" behindDoc="1" locked="0" layoutInCell="1" allowOverlap="1" wp14:anchorId="4DE188C1" wp14:editId="604825C9">
                <wp:simplePos x="0" y="0"/>
                <wp:positionH relativeFrom="page">
                  <wp:posOffset>3811270</wp:posOffset>
                </wp:positionH>
                <wp:positionV relativeFrom="paragraph">
                  <wp:posOffset>123825</wp:posOffset>
                </wp:positionV>
                <wp:extent cx="2880360" cy="1270"/>
                <wp:effectExtent l="10795" t="8890" r="13970" b="8890"/>
                <wp:wrapTopAndBottom/>
                <wp:docPr id="8"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AFF5" id="Forma libre: forma 2" o:spid="_x0000_s1026" style="position:absolute;margin-left:300.1pt;margin-top:9.75pt;width:22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" path="m,l4536,e" filled="f" strokeweight=".37678mm">
                <v:path arrowok="t" o:connecttype="custom" o:connectlocs="0,0;2880360,0" o:connectangles="0,0"/>
                <w10:wrap type="topAndBottom" anchorx="page"/>
              </v:shape>
            </w:pict>
          </mc:Fallback>
        </mc:AlternateContent>
      </w:r>
    </w:p>
    <w:p w14:paraId="47187DA6" w14:textId="77777777" w:rsidR="00D12760" w:rsidRPr="00D12760" w:rsidRDefault="00D12760" w:rsidP="00D12760">
      <w:pPr>
        <w:pStyle w:val="Textoindependiente"/>
        <w:spacing w:before="41"/>
        <w:ind w:right="117"/>
        <w:jc w:val="right"/>
        <w:rPr>
          <w:rFonts w:ascii="Times New Roman" w:hAnsi="Times New Roman" w:cs="Times New Roman"/>
          <w:szCs w:val="24"/>
        </w:rPr>
      </w:pPr>
      <w:r w:rsidRPr="00D12760">
        <w:rPr>
          <w:rFonts w:ascii="Times New Roman" w:hAnsi="Times New Roman" w:cs="Times New Roman"/>
          <w:szCs w:val="24"/>
        </w:rPr>
        <w:t>Firma</w:t>
      </w:r>
      <w:r w:rsidRPr="00D12760">
        <w:rPr>
          <w:rFonts w:ascii="Times New Roman" w:hAnsi="Times New Roman" w:cs="Times New Roman"/>
          <w:spacing w:val="-4"/>
          <w:szCs w:val="24"/>
        </w:rPr>
        <w:t xml:space="preserve"> </w:t>
      </w:r>
      <w:r w:rsidRPr="00D12760">
        <w:rPr>
          <w:rFonts w:ascii="Times New Roman" w:hAnsi="Times New Roman" w:cs="Times New Roman"/>
          <w:spacing w:val="-3"/>
          <w:szCs w:val="24"/>
        </w:rPr>
        <w:t>Jurado</w:t>
      </w:r>
    </w:p>
    <w:p w14:paraId="11992BD7" w14:textId="77777777" w:rsidR="00D12760" w:rsidRPr="00D12760" w:rsidRDefault="00D12760" w:rsidP="00D12760">
      <w:pPr>
        <w:pStyle w:val="Textoindependiente"/>
        <w:rPr>
          <w:rFonts w:ascii="Times New Roman" w:hAnsi="Times New Roman" w:cs="Times New Roman"/>
          <w:szCs w:val="24"/>
        </w:rPr>
      </w:pPr>
    </w:p>
    <w:p w14:paraId="3C33851D" w14:textId="77777777" w:rsidR="00D12760" w:rsidRPr="00D12760" w:rsidRDefault="00D12760" w:rsidP="00D12760">
      <w:pPr>
        <w:pStyle w:val="Textoindependiente"/>
        <w:rPr>
          <w:rFonts w:ascii="Times New Roman" w:hAnsi="Times New Roman" w:cs="Times New Roman"/>
          <w:szCs w:val="24"/>
        </w:rPr>
      </w:pPr>
    </w:p>
    <w:p w14:paraId="1F86713E" w14:textId="77777777" w:rsidR="00D12760" w:rsidRPr="00D12760" w:rsidRDefault="00D12760" w:rsidP="00D12760">
      <w:pPr>
        <w:pStyle w:val="Textoindependiente"/>
        <w:rPr>
          <w:rFonts w:ascii="Times New Roman" w:hAnsi="Times New Roman" w:cs="Times New Roman"/>
          <w:szCs w:val="24"/>
        </w:rPr>
      </w:pPr>
    </w:p>
    <w:p w14:paraId="03B32AD9" w14:textId="77777777" w:rsidR="00D12760" w:rsidRPr="00D12760" w:rsidRDefault="00D12760" w:rsidP="00D12760">
      <w:pPr>
        <w:pStyle w:val="Textoindependiente"/>
        <w:rPr>
          <w:rFonts w:ascii="Times New Roman" w:hAnsi="Times New Roman" w:cs="Times New Roman"/>
          <w:szCs w:val="24"/>
        </w:rPr>
      </w:pPr>
    </w:p>
    <w:p w14:paraId="0B7F79B6" w14:textId="77777777" w:rsidR="00D12760" w:rsidRPr="00D12760" w:rsidRDefault="00D12760" w:rsidP="00D12760">
      <w:pPr>
        <w:pStyle w:val="Textoindependiente"/>
        <w:rPr>
          <w:rFonts w:ascii="Times New Roman" w:hAnsi="Times New Roman" w:cs="Times New Roman"/>
          <w:szCs w:val="24"/>
        </w:rPr>
      </w:pPr>
    </w:p>
    <w:p w14:paraId="346CFB68" w14:textId="77777777" w:rsidR="00D12760" w:rsidRPr="00D12760" w:rsidRDefault="00D12760" w:rsidP="00D12760">
      <w:pPr>
        <w:pStyle w:val="Textoindependiente"/>
        <w:spacing w:before="6"/>
        <w:rPr>
          <w:rFonts w:ascii="Times New Roman" w:hAnsi="Times New Roman" w:cs="Times New Roman"/>
          <w:szCs w:val="24"/>
        </w:rPr>
      </w:pPr>
      <w:r w:rsidRPr="00D12760">
        <w:rPr>
          <w:rFonts w:ascii="Times New Roman" w:hAnsi="Times New Roman" w:cs="Times New Roman"/>
          <w:noProof/>
          <w:szCs w:val="24"/>
          <w:lang w:val="es-CO" w:eastAsia="es-CO"/>
        </w:rPr>
        <mc:AlternateContent>
          <mc:Choice Requires="wps">
            <w:drawing>
              <wp:anchor distT="0" distB="0" distL="0" distR="0" simplePos="0" relativeHeight="251661312" behindDoc="1" locked="0" layoutInCell="1" allowOverlap="1" wp14:anchorId="4ADE6969" wp14:editId="517EAF5E">
                <wp:simplePos x="0" y="0"/>
                <wp:positionH relativeFrom="page">
                  <wp:posOffset>3811270</wp:posOffset>
                </wp:positionH>
                <wp:positionV relativeFrom="paragraph">
                  <wp:posOffset>123825</wp:posOffset>
                </wp:positionV>
                <wp:extent cx="2880360" cy="1270"/>
                <wp:effectExtent l="10795" t="12700" r="13970" b="14605"/>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3833" id="Forma libre: forma 1" o:spid="_x0000_s1026" style="position:absolute;margin-left:300.1pt;margin-top:9.75pt;width:22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" path="m,l4536,e" filled="f" strokeweight=".37678mm">
                <v:path arrowok="t" o:connecttype="custom" o:connectlocs="0,0;2880360,0" o:connectangles="0,0"/>
                <w10:wrap type="topAndBottom" anchorx="page"/>
              </v:shape>
            </w:pict>
          </mc:Fallback>
        </mc:AlternateContent>
      </w:r>
    </w:p>
    <w:p w14:paraId="53F598C6" w14:textId="77777777" w:rsidR="00D12760" w:rsidRPr="00D12760" w:rsidRDefault="00D12760" w:rsidP="00D12760">
      <w:pPr>
        <w:pStyle w:val="Textoindependiente"/>
        <w:spacing w:before="41"/>
        <w:ind w:right="117"/>
        <w:jc w:val="right"/>
        <w:rPr>
          <w:rFonts w:ascii="Times New Roman" w:hAnsi="Times New Roman" w:cs="Times New Roman"/>
          <w:szCs w:val="24"/>
        </w:rPr>
      </w:pPr>
      <w:r w:rsidRPr="00D12760">
        <w:rPr>
          <w:rFonts w:ascii="Times New Roman" w:hAnsi="Times New Roman" w:cs="Times New Roman"/>
          <w:szCs w:val="24"/>
        </w:rPr>
        <w:t>Firma</w:t>
      </w:r>
      <w:r w:rsidRPr="00D12760">
        <w:rPr>
          <w:rFonts w:ascii="Times New Roman" w:hAnsi="Times New Roman" w:cs="Times New Roman"/>
          <w:spacing w:val="-4"/>
          <w:szCs w:val="24"/>
        </w:rPr>
        <w:t xml:space="preserve"> </w:t>
      </w:r>
      <w:r w:rsidRPr="00D12760">
        <w:rPr>
          <w:rFonts w:ascii="Times New Roman" w:hAnsi="Times New Roman" w:cs="Times New Roman"/>
          <w:szCs w:val="24"/>
        </w:rPr>
        <w:t>Jurado</w:t>
      </w:r>
    </w:p>
    <w:p w14:paraId="0FF2D586" w14:textId="77777777" w:rsidR="00D12760" w:rsidRPr="00D12760" w:rsidRDefault="00D12760" w:rsidP="00D12760">
      <w:pPr>
        <w:pStyle w:val="Textoindependiente"/>
        <w:rPr>
          <w:rFonts w:ascii="Times New Roman" w:hAnsi="Times New Roman" w:cs="Times New Roman"/>
          <w:szCs w:val="24"/>
        </w:rPr>
      </w:pPr>
    </w:p>
    <w:p w14:paraId="71F6373D" w14:textId="77777777" w:rsidR="00D12760" w:rsidRPr="00D12760" w:rsidRDefault="00D12760" w:rsidP="00D12760">
      <w:pPr>
        <w:pStyle w:val="Textoindependiente"/>
        <w:rPr>
          <w:rFonts w:ascii="Times New Roman" w:hAnsi="Times New Roman" w:cs="Times New Roman"/>
          <w:szCs w:val="24"/>
        </w:rPr>
      </w:pPr>
    </w:p>
    <w:p w14:paraId="0DB21CE5" w14:textId="77777777" w:rsidR="00D12760" w:rsidRPr="00B06D91" w:rsidRDefault="00D12760" w:rsidP="00D12760">
      <w:pPr>
        <w:pStyle w:val="Textoindependiente"/>
        <w:rPr>
          <w:rFonts w:ascii="Times New Roman" w:hAnsi="Times New Roman" w:cs="Times New Roman"/>
          <w:szCs w:val="24"/>
        </w:rPr>
      </w:pPr>
    </w:p>
    <w:p w14:paraId="050B28E1" w14:textId="77777777" w:rsidR="00D12760" w:rsidRDefault="00D12760" w:rsidP="00D12760">
      <w:pPr>
        <w:pStyle w:val="Textoindependiente"/>
        <w:rPr>
          <w:rFonts w:ascii="Times New Roman" w:hAnsi="Times New Roman" w:cs="Times New Roman"/>
          <w:szCs w:val="24"/>
        </w:rPr>
      </w:pPr>
    </w:p>
    <w:p w14:paraId="182BEF3F" w14:textId="77777777" w:rsidR="00D12760" w:rsidRPr="00B06D91" w:rsidRDefault="00D12760" w:rsidP="00D12760">
      <w:pPr>
        <w:pStyle w:val="Textoindependiente"/>
        <w:rPr>
          <w:rFonts w:ascii="Times New Roman" w:hAnsi="Times New Roman" w:cs="Times New Roman"/>
          <w:szCs w:val="24"/>
        </w:rPr>
      </w:pPr>
    </w:p>
    <w:p w14:paraId="6885FD81" w14:textId="77777777" w:rsidR="00D12760" w:rsidRPr="00B06D91" w:rsidRDefault="00D12760" w:rsidP="00D12760">
      <w:pPr>
        <w:pStyle w:val="Textoindependiente"/>
        <w:rPr>
          <w:rFonts w:ascii="Times New Roman" w:hAnsi="Times New Roman" w:cs="Times New Roman"/>
          <w:szCs w:val="24"/>
        </w:rPr>
      </w:pPr>
    </w:p>
    <w:p w14:paraId="775B31D9" w14:textId="642E3B20" w:rsidR="00D12760" w:rsidRPr="00D12760" w:rsidRDefault="00D12760" w:rsidP="00D12760">
      <w:pPr>
        <w:pStyle w:val="Textoindependiente"/>
        <w:spacing w:before="1"/>
        <w:ind w:right="116"/>
        <w:jc w:val="right"/>
        <w:rPr>
          <w:rFonts w:ascii="Times New Roman" w:hAnsi="Times New Roman" w:cs="Times New Roman"/>
          <w:szCs w:val="24"/>
        </w:rPr>
      </w:pPr>
      <w:r w:rsidRPr="00D12760">
        <w:rPr>
          <w:rFonts w:ascii="Times New Roman" w:hAnsi="Times New Roman" w:cs="Times New Roman"/>
          <w:szCs w:val="24"/>
        </w:rPr>
        <w:t>Ciudad Bogotá D.C.,</w:t>
      </w:r>
      <w:r w:rsidRPr="00D12760">
        <w:rPr>
          <w:rFonts w:ascii="Times New Roman" w:hAnsi="Times New Roman" w:cs="Times New Roman"/>
          <w:spacing w:val="-6"/>
          <w:szCs w:val="24"/>
        </w:rPr>
        <w:t xml:space="preserve"> </w:t>
      </w:r>
      <w:r>
        <w:rPr>
          <w:rFonts w:ascii="Times New Roman" w:hAnsi="Times New Roman" w:cs="Times New Roman"/>
          <w:szCs w:val="24"/>
        </w:rPr>
        <w:t>24, julio, 2023</w:t>
      </w:r>
      <w:r w:rsidRPr="00D12760">
        <w:rPr>
          <w:rFonts w:ascii="Times New Roman" w:hAnsi="Times New Roman" w:cs="Times New Roman"/>
          <w:szCs w:val="24"/>
        </w:rPr>
        <w:t>.</w:t>
      </w:r>
    </w:p>
    <w:p w14:paraId="3F7EE7D6" w14:textId="77777777" w:rsidR="00D12760" w:rsidRPr="00D12760" w:rsidRDefault="00D12760" w:rsidP="00D12760">
      <w:pPr>
        <w:spacing w:after="0" w:line="360" w:lineRule="auto"/>
        <w:rPr>
          <w:rFonts w:ascii="Times New Roman" w:hAnsi="Times New Roman" w:cs="Times New Roman"/>
          <w:b/>
          <w:bCs/>
          <w:sz w:val="24"/>
          <w:szCs w:val="24"/>
          <w:lang w:val="es-ES"/>
        </w:rPr>
      </w:pPr>
    </w:p>
    <w:p w14:paraId="03DEB4A1" w14:textId="77777777" w:rsidR="0063426E" w:rsidRDefault="006B2674" w:rsidP="008D19D2">
      <w:pPr>
        <w:keepNext/>
        <w:keepLines/>
        <w:pBdr>
          <w:top w:val="nil"/>
          <w:left w:val="nil"/>
          <w:bottom w:val="nil"/>
          <w:right w:val="nil"/>
          <w:between w:val="nil"/>
        </w:pBdr>
        <w:spacing w:before="240"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INDICE</w:t>
      </w:r>
    </w:p>
    <w:sdt>
      <w:sdtPr>
        <w:rPr>
          <w:rFonts w:ascii="Calibri" w:hAnsi="Calibri" w:cs="Calibri"/>
          <w:noProof w:val="0"/>
          <w:sz w:val="22"/>
        </w:rPr>
        <w:id w:val="766043452"/>
        <w:docPartObj>
          <w:docPartGallery w:val="Table of Contents"/>
          <w:docPartUnique/>
        </w:docPartObj>
      </w:sdtPr>
      <w:sdtEndPr>
        <w:rPr>
          <w:rFonts w:ascii="Times New Roman" w:hAnsi="Times New Roman" w:cs="Times New Roman"/>
          <w:sz w:val="24"/>
          <w:szCs w:val="24"/>
        </w:rPr>
      </w:sdtEndPr>
      <w:sdtContent>
        <w:p w14:paraId="34E68EE2" w14:textId="4EF6FA56" w:rsidR="002732B7" w:rsidRPr="00D02606" w:rsidRDefault="006B2674">
          <w:pPr>
            <w:pStyle w:val="TDC1"/>
            <w:rPr>
              <w:rFonts w:eastAsiaTheme="minorEastAsia"/>
              <w:kern w:val="2"/>
              <w:szCs w:val="24"/>
              <w:lang w:eastAsia="es-CO"/>
              <w14:ligatures w14:val="standardContextual"/>
            </w:rPr>
          </w:pPr>
          <w:r w:rsidRPr="00F77C11">
            <w:rPr>
              <w:szCs w:val="24"/>
            </w:rPr>
            <w:fldChar w:fldCharType="begin"/>
          </w:r>
          <w:r w:rsidRPr="00F77C11">
            <w:rPr>
              <w:szCs w:val="24"/>
            </w:rPr>
            <w:instrText xml:space="preserve"> TOC \h \u \z </w:instrText>
          </w:r>
          <w:r w:rsidRPr="00F77C11">
            <w:rPr>
              <w:szCs w:val="24"/>
            </w:rPr>
            <w:fldChar w:fldCharType="separate"/>
          </w:r>
          <w:hyperlink w:anchor="_Toc134376628" w:history="1">
            <w:r w:rsidR="002732B7" w:rsidRPr="00D02606">
              <w:rPr>
                <w:rStyle w:val="Hipervnculo"/>
                <w:b/>
                <w:bCs/>
                <w:szCs w:val="24"/>
              </w:rPr>
              <w:t>RESUMEN</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_Toc134376628 \h </w:instrText>
            </w:r>
            <w:r w:rsidR="002732B7" w:rsidRPr="00D02606">
              <w:rPr>
                <w:webHidden/>
                <w:szCs w:val="24"/>
              </w:rPr>
            </w:r>
            <w:r w:rsidR="002732B7" w:rsidRPr="00D02606">
              <w:rPr>
                <w:webHidden/>
                <w:szCs w:val="24"/>
              </w:rPr>
              <w:fldChar w:fldCharType="separate"/>
            </w:r>
            <w:r w:rsidR="00D02606" w:rsidRPr="00D02606">
              <w:rPr>
                <w:webHidden/>
                <w:szCs w:val="24"/>
              </w:rPr>
              <w:t>3</w:t>
            </w:r>
            <w:r w:rsidR="002732B7" w:rsidRPr="00D02606">
              <w:rPr>
                <w:webHidden/>
                <w:szCs w:val="24"/>
              </w:rPr>
              <w:fldChar w:fldCharType="end"/>
            </w:r>
          </w:hyperlink>
        </w:p>
        <w:p w14:paraId="0C0449C0" w14:textId="6324DE4F" w:rsidR="002732B7" w:rsidRPr="00D02606" w:rsidRDefault="00000000">
          <w:pPr>
            <w:pStyle w:val="TDC1"/>
            <w:rPr>
              <w:rFonts w:eastAsiaTheme="minorEastAsia"/>
              <w:kern w:val="2"/>
              <w:szCs w:val="24"/>
              <w:lang w:eastAsia="es-CO"/>
              <w14:ligatures w14:val="standardContextual"/>
            </w:rPr>
          </w:pPr>
          <w:hyperlink w:anchor="_Toc134376629" w:history="1">
            <w:r w:rsidR="002732B7" w:rsidRPr="00D02606">
              <w:rPr>
                <w:rStyle w:val="Hipervnculo"/>
                <w:rFonts w:eastAsia="Times New Roman"/>
                <w:b/>
                <w:bCs/>
                <w:szCs w:val="24"/>
                <w:lang w:val="en-US"/>
              </w:rPr>
              <w:t>ABSTRACT</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_Toc134376629 \h </w:instrText>
            </w:r>
            <w:r w:rsidR="002732B7" w:rsidRPr="00D02606">
              <w:rPr>
                <w:webHidden/>
                <w:szCs w:val="24"/>
              </w:rPr>
            </w:r>
            <w:r w:rsidR="002732B7" w:rsidRPr="00D02606">
              <w:rPr>
                <w:webHidden/>
                <w:szCs w:val="24"/>
              </w:rPr>
              <w:fldChar w:fldCharType="separate"/>
            </w:r>
            <w:r w:rsidR="00D02606" w:rsidRPr="00D02606">
              <w:rPr>
                <w:webHidden/>
                <w:szCs w:val="24"/>
              </w:rPr>
              <w:t>4</w:t>
            </w:r>
            <w:r w:rsidR="002732B7" w:rsidRPr="00D02606">
              <w:rPr>
                <w:webHidden/>
                <w:szCs w:val="24"/>
              </w:rPr>
              <w:fldChar w:fldCharType="end"/>
            </w:r>
          </w:hyperlink>
        </w:p>
        <w:p w14:paraId="1B8DEF78" w14:textId="1D0D5B1E" w:rsidR="002732B7" w:rsidRPr="00D02606" w:rsidRDefault="00000000">
          <w:pPr>
            <w:pStyle w:val="TDC1"/>
            <w:rPr>
              <w:rFonts w:eastAsiaTheme="minorEastAsia"/>
              <w:kern w:val="2"/>
              <w:szCs w:val="24"/>
              <w:lang w:eastAsia="es-CO"/>
              <w14:ligatures w14:val="standardContextual"/>
            </w:rPr>
          </w:pPr>
          <w:hyperlink w:anchor="_Toc134376630" w:history="1">
            <w:r w:rsidR="002732B7" w:rsidRPr="00D02606">
              <w:rPr>
                <w:rStyle w:val="Hipervnculo"/>
                <w:rFonts w:eastAsia="Times New Roman"/>
                <w:b/>
                <w:szCs w:val="24"/>
              </w:rPr>
              <w:t>INTRODUCCIÓN</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_Toc134376630 \h </w:instrText>
            </w:r>
            <w:r w:rsidR="002732B7" w:rsidRPr="00D02606">
              <w:rPr>
                <w:webHidden/>
                <w:szCs w:val="24"/>
              </w:rPr>
            </w:r>
            <w:r w:rsidR="002732B7" w:rsidRPr="00D02606">
              <w:rPr>
                <w:webHidden/>
                <w:szCs w:val="24"/>
              </w:rPr>
              <w:fldChar w:fldCharType="separate"/>
            </w:r>
            <w:r w:rsidR="00D02606" w:rsidRPr="00D02606">
              <w:rPr>
                <w:webHidden/>
                <w:szCs w:val="24"/>
              </w:rPr>
              <w:t>6</w:t>
            </w:r>
            <w:r w:rsidR="002732B7" w:rsidRPr="00D02606">
              <w:rPr>
                <w:webHidden/>
                <w:szCs w:val="24"/>
              </w:rPr>
              <w:fldChar w:fldCharType="end"/>
            </w:r>
          </w:hyperlink>
        </w:p>
        <w:p w14:paraId="2F288238" w14:textId="453F890A" w:rsidR="002732B7" w:rsidRPr="00D02606" w:rsidRDefault="00000000">
          <w:pPr>
            <w:pStyle w:val="TDC1"/>
            <w:rPr>
              <w:rFonts w:eastAsiaTheme="minorEastAsia"/>
              <w:kern w:val="2"/>
              <w:szCs w:val="24"/>
              <w:lang w:eastAsia="es-CO"/>
              <w14:ligatures w14:val="standardContextual"/>
            </w:rPr>
          </w:pPr>
          <w:hyperlink w:anchor="_Toc134376631" w:history="1">
            <w:r w:rsidR="002732B7" w:rsidRPr="00D02606">
              <w:rPr>
                <w:rStyle w:val="Hipervnculo"/>
                <w:rFonts w:eastAsia="Times New Roman"/>
                <w:b/>
                <w:szCs w:val="24"/>
              </w:rPr>
              <w:t>CAPÍTULO I</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_Toc134376631 \h </w:instrText>
            </w:r>
            <w:r w:rsidR="002732B7" w:rsidRPr="00D02606">
              <w:rPr>
                <w:webHidden/>
                <w:szCs w:val="24"/>
              </w:rPr>
            </w:r>
            <w:r w:rsidR="002732B7" w:rsidRPr="00D02606">
              <w:rPr>
                <w:webHidden/>
                <w:szCs w:val="24"/>
              </w:rPr>
              <w:fldChar w:fldCharType="separate"/>
            </w:r>
            <w:r w:rsidR="00D02606" w:rsidRPr="00D02606">
              <w:rPr>
                <w:webHidden/>
                <w:szCs w:val="24"/>
              </w:rPr>
              <w:t>9</w:t>
            </w:r>
            <w:r w:rsidR="002732B7" w:rsidRPr="00D02606">
              <w:rPr>
                <w:webHidden/>
                <w:szCs w:val="24"/>
              </w:rPr>
              <w:fldChar w:fldCharType="end"/>
            </w:r>
          </w:hyperlink>
        </w:p>
        <w:p w14:paraId="40187DF4" w14:textId="27623B86" w:rsidR="002732B7" w:rsidRPr="00D02606" w:rsidRDefault="00000000">
          <w:pPr>
            <w:pStyle w:val="TDC1"/>
            <w:rPr>
              <w:rFonts w:eastAsiaTheme="minorEastAsia"/>
              <w:kern w:val="2"/>
              <w:szCs w:val="24"/>
              <w:lang w:eastAsia="es-CO"/>
              <w14:ligatures w14:val="standardContextual"/>
            </w:rPr>
          </w:pPr>
          <w:hyperlink w:anchor="_Toc134376632" w:history="1">
            <w:r w:rsidR="002732B7" w:rsidRPr="00D02606">
              <w:rPr>
                <w:rStyle w:val="Hipervnculo"/>
                <w:rFonts w:eastAsia="Times New Roman"/>
                <w:b/>
                <w:szCs w:val="24"/>
              </w:rPr>
              <w:t>MARCO LEGAL DEL TRATAMIENTO DE LOS DELITOS SEXUALES EN COLOMBIA</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_Toc134376632 \h </w:instrText>
            </w:r>
            <w:r w:rsidR="002732B7" w:rsidRPr="00D02606">
              <w:rPr>
                <w:webHidden/>
                <w:szCs w:val="24"/>
              </w:rPr>
            </w:r>
            <w:r w:rsidR="002732B7" w:rsidRPr="00D02606">
              <w:rPr>
                <w:webHidden/>
                <w:szCs w:val="24"/>
              </w:rPr>
              <w:fldChar w:fldCharType="separate"/>
            </w:r>
            <w:r w:rsidR="00D02606" w:rsidRPr="00D02606">
              <w:rPr>
                <w:webHidden/>
                <w:szCs w:val="24"/>
              </w:rPr>
              <w:t>9</w:t>
            </w:r>
            <w:r w:rsidR="002732B7" w:rsidRPr="00D02606">
              <w:rPr>
                <w:webHidden/>
                <w:szCs w:val="24"/>
              </w:rPr>
              <w:fldChar w:fldCharType="end"/>
            </w:r>
          </w:hyperlink>
        </w:p>
        <w:p w14:paraId="06A4CACB" w14:textId="7D00B05F" w:rsidR="002732B7" w:rsidRPr="00D02606" w:rsidRDefault="00000000">
          <w:pPr>
            <w:pStyle w:val="TDC1"/>
            <w:tabs>
              <w:tab w:val="left" w:pos="660"/>
            </w:tabs>
            <w:rPr>
              <w:rFonts w:eastAsiaTheme="minorEastAsia"/>
              <w:kern w:val="2"/>
              <w:szCs w:val="24"/>
              <w:lang w:eastAsia="es-CO"/>
              <w14:ligatures w14:val="standardContextual"/>
            </w:rPr>
          </w:pPr>
          <w:hyperlink w:anchor="_Toc134376633" w:history="1">
            <w:r w:rsidR="002732B7" w:rsidRPr="00D02606">
              <w:rPr>
                <w:rStyle w:val="Hipervnculo"/>
                <w:rFonts w:eastAsia="Times New Roman"/>
                <w:b/>
                <w:szCs w:val="24"/>
              </w:rPr>
              <w:t>1.1.</w:t>
            </w:r>
            <w:r w:rsidR="002732B7" w:rsidRPr="00D02606">
              <w:rPr>
                <w:rFonts w:eastAsiaTheme="minorEastAsia"/>
                <w:kern w:val="2"/>
                <w:szCs w:val="24"/>
                <w:lang w:eastAsia="es-CO"/>
                <w14:ligatures w14:val="standardContextual"/>
              </w:rPr>
              <w:tab/>
            </w:r>
            <w:r w:rsidR="002732B7" w:rsidRPr="00D02606">
              <w:rPr>
                <w:rStyle w:val="Hipervnculo"/>
                <w:rFonts w:eastAsia="Times New Roman"/>
                <w:b/>
                <w:szCs w:val="24"/>
              </w:rPr>
              <w:t>El tratamiento de los delitos sexuales con menores de 14 años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_Toc134376633 \h </w:instrText>
            </w:r>
            <w:r w:rsidR="002732B7" w:rsidRPr="00D02606">
              <w:rPr>
                <w:webHidden/>
                <w:szCs w:val="24"/>
              </w:rPr>
            </w:r>
            <w:r w:rsidR="002732B7" w:rsidRPr="00D02606">
              <w:rPr>
                <w:webHidden/>
                <w:szCs w:val="24"/>
              </w:rPr>
              <w:fldChar w:fldCharType="separate"/>
            </w:r>
            <w:r w:rsidR="00D02606" w:rsidRPr="00D02606">
              <w:rPr>
                <w:webHidden/>
                <w:szCs w:val="24"/>
              </w:rPr>
              <w:t>9</w:t>
            </w:r>
            <w:r w:rsidR="002732B7" w:rsidRPr="00D02606">
              <w:rPr>
                <w:webHidden/>
                <w:szCs w:val="24"/>
              </w:rPr>
              <w:fldChar w:fldCharType="end"/>
            </w:r>
          </w:hyperlink>
        </w:p>
        <w:p w14:paraId="7B04765B" w14:textId="6C11C2C7" w:rsidR="002732B7" w:rsidRPr="00D02606" w:rsidRDefault="00000000">
          <w:pPr>
            <w:pStyle w:val="TDC1"/>
            <w:tabs>
              <w:tab w:val="left" w:pos="660"/>
            </w:tabs>
            <w:rPr>
              <w:rFonts w:eastAsiaTheme="minorEastAsia"/>
              <w:kern w:val="2"/>
              <w:szCs w:val="24"/>
              <w:lang w:eastAsia="es-CO"/>
              <w14:ligatures w14:val="standardContextual"/>
            </w:rPr>
          </w:pPr>
          <w:hyperlink w:anchor="_Toc134376634" w:history="1">
            <w:r w:rsidR="002732B7" w:rsidRPr="00D02606">
              <w:rPr>
                <w:rStyle w:val="Hipervnculo"/>
                <w:rFonts w:eastAsia="Times New Roman"/>
                <w:b/>
                <w:szCs w:val="24"/>
              </w:rPr>
              <w:t>1.2.</w:t>
            </w:r>
            <w:r w:rsidR="002732B7" w:rsidRPr="00D02606">
              <w:rPr>
                <w:rFonts w:eastAsiaTheme="minorEastAsia"/>
                <w:kern w:val="2"/>
                <w:szCs w:val="24"/>
                <w:lang w:eastAsia="es-CO"/>
                <w14:ligatures w14:val="standardContextual"/>
              </w:rPr>
              <w:tab/>
            </w:r>
            <w:r w:rsidR="002732B7" w:rsidRPr="00D02606">
              <w:rPr>
                <w:rStyle w:val="Hipervnculo"/>
                <w:rFonts w:eastAsia="Times New Roman"/>
                <w:b/>
                <w:szCs w:val="24"/>
              </w:rPr>
              <w:t>Contexto de las incidencias de las sanciones penales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_Toc134376634 \h </w:instrText>
            </w:r>
            <w:r w:rsidR="002732B7" w:rsidRPr="00D02606">
              <w:rPr>
                <w:webHidden/>
                <w:szCs w:val="24"/>
              </w:rPr>
            </w:r>
            <w:r w:rsidR="002732B7" w:rsidRPr="00D02606">
              <w:rPr>
                <w:webHidden/>
                <w:szCs w:val="24"/>
              </w:rPr>
              <w:fldChar w:fldCharType="separate"/>
            </w:r>
            <w:r w:rsidR="00D02606" w:rsidRPr="00D02606">
              <w:rPr>
                <w:webHidden/>
                <w:szCs w:val="24"/>
              </w:rPr>
              <w:t>10</w:t>
            </w:r>
            <w:r w:rsidR="002732B7" w:rsidRPr="00D02606">
              <w:rPr>
                <w:webHidden/>
                <w:szCs w:val="24"/>
              </w:rPr>
              <w:fldChar w:fldCharType="end"/>
            </w:r>
          </w:hyperlink>
        </w:p>
        <w:p w14:paraId="753D6C21" w14:textId="685C948C" w:rsidR="002732B7" w:rsidRPr="00D02606" w:rsidRDefault="00000000">
          <w:pPr>
            <w:pStyle w:val="TDC1"/>
            <w:tabs>
              <w:tab w:val="left" w:pos="660"/>
            </w:tabs>
            <w:rPr>
              <w:rFonts w:eastAsiaTheme="minorEastAsia"/>
              <w:kern w:val="2"/>
              <w:szCs w:val="24"/>
              <w:lang w:eastAsia="es-CO"/>
              <w14:ligatures w14:val="standardContextual"/>
            </w:rPr>
          </w:pPr>
          <w:hyperlink w:anchor="_Toc134376635" w:history="1">
            <w:r w:rsidR="002732B7" w:rsidRPr="00D02606">
              <w:rPr>
                <w:rStyle w:val="Hipervnculo"/>
                <w:rFonts w:eastAsia="Times New Roman"/>
                <w:b/>
                <w:szCs w:val="24"/>
              </w:rPr>
              <w:t>1.3.</w:t>
            </w:r>
            <w:r w:rsidR="002732B7" w:rsidRPr="00D02606">
              <w:rPr>
                <w:rFonts w:eastAsiaTheme="minorEastAsia"/>
                <w:kern w:val="2"/>
                <w:szCs w:val="24"/>
                <w:lang w:eastAsia="es-CO"/>
                <w14:ligatures w14:val="standardContextual"/>
              </w:rPr>
              <w:tab/>
            </w:r>
            <w:r w:rsidR="002732B7" w:rsidRPr="00D02606">
              <w:rPr>
                <w:rStyle w:val="Hipervnculo"/>
                <w:rFonts w:eastAsia="Times New Roman"/>
                <w:b/>
                <w:szCs w:val="24"/>
              </w:rPr>
              <w:t>Bloque de constitucionalidad y los derechos de niños, niñas y adolescentes en materia de violencias sexuales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_Toc134376635 \h </w:instrText>
            </w:r>
            <w:r w:rsidR="002732B7" w:rsidRPr="00D02606">
              <w:rPr>
                <w:webHidden/>
                <w:szCs w:val="24"/>
              </w:rPr>
            </w:r>
            <w:r w:rsidR="002732B7" w:rsidRPr="00D02606">
              <w:rPr>
                <w:webHidden/>
                <w:szCs w:val="24"/>
              </w:rPr>
              <w:fldChar w:fldCharType="separate"/>
            </w:r>
            <w:r w:rsidR="00D02606" w:rsidRPr="00D02606">
              <w:rPr>
                <w:webHidden/>
                <w:szCs w:val="24"/>
              </w:rPr>
              <w:t>12</w:t>
            </w:r>
            <w:r w:rsidR="002732B7" w:rsidRPr="00D02606">
              <w:rPr>
                <w:webHidden/>
                <w:szCs w:val="24"/>
              </w:rPr>
              <w:fldChar w:fldCharType="end"/>
            </w:r>
          </w:hyperlink>
        </w:p>
        <w:p w14:paraId="506A1D8E" w14:textId="45C01C13" w:rsidR="002732B7" w:rsidRPr="00D02606" w:rsidRDefault="00000000">
          <w:pPr>
            <w:pStyle w:val="TDC1"/>
            <w:tabs>
              <w:tab w:val="left" w:pos="660"/>
            </w:tabs>
            <w:rPr>
              <w:rFonts w:eastAsiaTheme="minorEastAsia"/>
              <w:kern w:val="2"/>
              <w:szCs w:val="24"/>
              <w:lang w:eastAsia="es-CO"/>
              <w14:ligatures w14:val="standardContextual"/>
            </w:rPr>
          </w:pPr>
          <w:hyperlink w:anchor="_Toc134376636" w:history="1">
            <w:r w:rsidR="002732B7" w:rsidRPr="00D02606">
              <w:rPr>
                <w:rStyle w:val="Hipervnculo"/>
                <w:rFonts w:eastAsia="Times New Roman"/>
                <w:b/>
                <w:bCs/>
                <w:szCs w:val="24"/>
              </w:rPr>
              <w:t>1.4.</w:t>
            </w:r>
            <w:r w:rsidR="002732B7" w:rsidRPr="00D02606">
              <w:rPr>
                <w:rFonts w:eastAsiaTheme="minorEastAsia"/>
                <w:kern w:val="2"/>
                <w:szCs w:val="24"/>
                <w:lang w:eastAsia="es-CO"/>
                <w14:ligatures w14:val="standardContextual"/>
              </w:rPr>
              <w:tab/>
            </w:r>
            <w:r w:rsidR="002732B7" w:rsidRPr="00D02606">
              <w:rPr>
                <w:rStyle w:val="Hipervnculo"/>
                <w:rFonts w:eastAsia="Times New Roman"/>
                <w:b/>
                <w:bCs/>
                <w:szCs w:val="24"/>
              </w:rPr>
              <w:t>Antecedentes normativos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_Toc134376636 \h </w:instrText>
            </w:r>
            <w:r w:rsidR="002732B7" w:rsidRPr="00D02606">
              <w:rPr>
                <w:webHidden/>
                <w:szCs w:val="24"/>
              </w:rPr>
            </w:r>
            <w:r w:rsidR="002732B7" w:rsidRPr="00D02606">
              <w:rPr>
                <w:webHidden/>
                <w:szCs w:val="24"/>
              </w:rPr>
              <w:fldChar w:fldCharType="separate"/>
            </w:r>
            <w:r w:rsidR="00D02606" w:rsidRPr="00D02606">
              <w:rPr>
                <w:webHidden/>
                <w:szCs w:val="24"/>
              </w:rPr>
              <w:t>15</w:t>
            </w:r>
            <w:r w:rsidR="002732B7" w:rsidRPr="00D02606">
              <w:rPr>
                <w:webHidden/>
                <w:szCs w:val="24"/>
              </w:rPr>
              <w:fldChar w:fldCharType="end"/>
            </w:r>
          </w:hyperlink>
        </w:p>
        <w:p w14:paraId="11FCBC43" w14:textId="7FE3EBE8" w:rsidR="002732B7" w:rsidRPr="00D02606" w:rsidRDefault="00000000">
          <w:pPr>
            <w:pStyle w:val="TDC1"/>
            <w:tabs>
              <w:tab w:val="left" w:pos="660"/>
            </w:tabs>
            <w:rPr>
              <w:rFonts w:eastAsiaTheme="minorEastAsia"/>
              <w:kern w:val="2"/>
              <w:szCs w:val="24"/>
              <w:lang w:eastAsia="es-CO"/>
              <w14:ligatures w14:val="standardContextual"/>
            </w:rPr>
          </w:pPr>
          <w:hyperlink w:anchor="_Toc134376637" w:history="1">
            <w:r w:rsidR="002732B7" w:rsidRPr="00D02606">
              <w:rPr>
                <w:rStyle w:val="Hipervnculo"/>
                <w:rFonts w:eastAsia="Times New Roman"/>
                <w:b/>
                <w:bCs/>
                <w:szCs w:val="24"/>
              </w:rPr>
              <w:t>1.5.</w:t>
            </w:r>
            <w:r w:rsidR="002732B7" w:rsidRPr="00D02606">
              <w:rPr>
                <w:rFonts w:eastAsiaTheme="minorEastAsia"/>
                <w:kern w:val="2"/>
                <w:szCs w:val="24"/>
                <w:lang w:eastAsia="es-CO"/>
                <w14:ligatures w14:val="standardContextual"/>
              </w:rPr>
              <w:tab/>
            </w:r>
            <w:r w:rsidR="002732B7" w:rsidRPr="00D02606">
              <w:rPr>
                <w:rStyle w:val="Hipervnculo"/>
                <w:rFonts w:eastAsia="Times New Roman"/>
                <w:b/>
                <w:bCs/>
                <w:szCs w:val="24"/>
              </w:rPr>
              <w:t>El bien jurídico tutelado de la libertad, integridad y formación sexuales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_Toc134376637 \h </w:instrText>
            </w:r>
            <w:r w:rsidR="002732B7" w:rsidRPr="00D02606">
              <w:rPr>
                <w:webHidden/>
                <w:szCs w:val="24"/>
              </w:rPr>
            </w:r>
            <w:r w:rsidR="002732B7" w:rsidRPr="00D02606">
              <w:rPr>
                <w:webHidden/>
                <w:szCs w:val="24"/>
              </w:rPr>
              <w:fldChar w:fldCharType="separate"/>
            </w:r>
            <w:r w:rsidR="00D02606" w:rsidRPr="00D02606">
              <w:rPr>
                <w:webHidden/>
                <w:szCs w:val="24"/>
              </w:rPr>
              <w:t>17</w:t>
            </w:r>
            <w:r w:rsidR="002732B7" w:rsidRPr="00D02606">
              <w:rPr>
                <w:webHidden/>
                <w:szCs w:val="24"/>
              </w:rPr>
              <w:fldChar w:fldCharType="end"/>
            </w:r>
          </w:hyperlink>
        </w:p>
        <w:p w14:paraId="27CF0A7E" w14:textId="0C4F423C" w:rsidR="002732B7" w:rsidRPr="00D02606" w:rsidRDefault="00000000">
          <w:pPr>
            <w:pStyle w:val="TDC1"/>
            <w:tabs>
              <w:tab w:val="left" w:pos="660"/>
            </w:tabs>
            <w:rPr>
              <w:rFonts w:eastAsiaTheme="minorEastAsia"/>
              <w:kern w:val="2"/>
              <w:szCs w:val="24"/>
              <w:lang w:eastAsia="es-CO"/>
              <w14:ligatures w14:val="standardContextual"/>
            </w:rPr>
          </w:pPr>
          <w:hyperlink w:anchor="_Toc134376638" w:history="1">
            <w:r w:rsidR="002732B7" w:rsidRPr="00D02606">
              <w:rPr>
                <w:rStyle w:val="Hipervnculo"/>
                <w:rFonts w:eastAsia="Times New Roman"/>
                <w:b/>
                <w:szCs w:val="24"/>
              </w:rPr>
              <w:t>1.6.</w:t>
            </w:r>
            <w:r w:rsidR="002732B7" w:rsidRPr="00D02606">
              <w:rPr>
                <w:rFonts w:eastAsiaTheme="minorEastAsia"/>
                <w:kern w:val="2"/>
                <w:szCs w:val="24"/>
                <w:lang w:eastAsia="es-CO"/>
                <w14:ligatures w14:val="standardContextual"/>
              </w:rPr>
              <w:tab/>
            </w:r>
            <w:r w:rsidR="002732B7" w:rsidRPr="00D02606">
              <w:rPr>
                <w:rStyle w:val="Hipervnculo"/>
                <w:rFonts w:eastAsia="Times New Roman"/>
                <w:b/>
                <w:szCs w:val="24"/>
              </w:rPr>
              <w:t>La incapacidad absoluta y relativa en el Código Civil colombiano</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_Toc134376638 \h </w:instrText>
            </w:r>
            <w:r w:rsidR="002732B7" w:rsidRPr="00D02606">
              <w:rPr>
                <w:webHidden/>
                <w:szCs w:val="24"/>
              </w:rPr>
            </w:r>
            <w:r w:rsidR="002732B7" w:rsidRPr="00D02606">
              <w:rPr>
                <w:webHidden/>
                <w:szCs w:val="24"/>
              </w:rPr>
              <w:fldChar w:fldCharType="separate"/>
            </w:r>
            <w:r w:rsidR="00D02606" w:rsidRPr="00D02606">
              <w:rPr>
                <w:webHidden/>
                <w:szCs w:val="24"/>
              </w:rPr>
              <w:t>18</w:t>
            </w:r>
            <w:r w:rsidR="002732B7" w:rsidRPr="00D02606">
              <w:rPr>
                <w:webHidden/>
                <w:szCs w:val="24"/>
              </w:rPr>
              <w:fldChar w:fldCharType="end"/>
            </w:r>
          </w:hyperlink>
        </w:p>
        <w:p w14:paraId="4CD2476F" w14:textId="6EF23493" w:rsidR="002732B7" w:rsidRPr="00D02606" w:rsidRDefault="00000000">
          <w:pPr>
            <w:pStyle w:val="TDC2"/>
            <w:tabs>
              <w:tab w:val="left" w:pos="880"/>
              <w:tab w:val="right" w:leader="dot" w:pos="9089"/>
            </w:tabs>
            <w:rPr>
              <w:rFonts w:ascii="Times New Roman" w:eastAsiaTheme="minorEastAsia" w:hAnsi="Times New Roman" w:cs="Times New Roman"/>
              <w:noProof/>
              <w:kern w:val="2"/>
              <w:sz w:val="24"/>
              <w:szCs w:val="24"/>
              <w:lang w:eastAsia="es-CO"/>
              <w14:ligatures w14:val="standardContextual"/>
            </w:rPr>
          </w:pPr>
          <w:hyperlink w:anchor="_Toc134376639" w:history="1">
            <w:r w:rsidR="002732B7" w:rsidRPr="00D02606">
              <w:rPr>
                <w:rStyle w:val="Hipervnculo"/>
                <w:rFonts w:ascii="Times New Roman" w:eastAsia="Times New Roman" w:hAnsi="Times New Roman" w:cs="Times New Roman"/>
                <w:b/>
                <w:noProof/>
                <w:sz w:val="24"/>
                <w:szCs w:val="24"/>
              </w:rPr>
              <w:t>1.7.</w:t>
            </w:r>
            <w:r w:rsidR="002732B7" w:rsidRPr="00D02606">
              <w:rPr>
                <w:rFonts w:ascii="Times New Roman" w:eastAsiaTheme="minorEastAsia" w:hAnsi="Times New Roman" w:cs="Times New Roman"/>
                <w:noProof/>
                <w:kern w:val="2"/>
                <w:sz w:val="24"/>
                <w:szCs w:val="24"/>
                <w:lang w:eastAsia="es-CO"/>
                <w14:ligatures w14:val="standardContextual"/>
              </w:rPr>
              <w:tab/>
            </w:r>
            <w:r w:rsidR="002732B7" w:rsidRPr="00D02606">
              <w:rPr>
                <w:rStyle w:val="Hipervnculo"/>
                <w:rFonts w:ascii="Times New Roman" w:eastAsia="Times New Roman" w:hAnsi="Times New Roman" w:cs="Times New Roman"/>
                <w:b/>
                <w:noProof/>
                <w:sz w:val="24"/>
                <w:szCs w:val="24"/>
              </w:rPr>
              <w:t>El consentimiento</w:t>
            </w:r>
            <w:r w:rsidR="002732B7" w:rsidRPr="00D02606">
              <w:rPr>
                <w:rFonts w:ascii="Times New Roman" w:hAnsi="Times New Roman" w:cs="Times New Roman"/>
                <w:noProof/>
                <w:webHidden/>
                <w:sz w:val="24"/>
                <w:szCs w:val="24"/>
              </w:rPr>
              <w:tab/>
            </w:r>
            <w:r w:rsidR="002732B7" w:rsidRPr="00D02606">
              <w:rPr>
                <w:rFonts w:ascii="Times New Roman" w:hAnsi="Times New Roman" w:cs="Times New Roman"/>
                <w:noProof/>
                <w:webHidden/>
                <w:sz w:val="24"/>
                <w:szCs w:val="24"/>
              </w:rPr>
              <w:fldChar w:fldCharType="begin"/>
            </w:r>
            <w:r w:rsidR="002732B7" w:rsidRPr="00D02606">
              <w:rPr>
                <w:rFonts w:ascii="Times New Roman" w:hAnsi="Times New Roman" w:cs="Times New Roman"/>
                <w:noProof/>
                <w:webHidden/>
                <w:sz w:val="24"/>
                <w:szCs w:val="24"/>
              </w:rPr>
              <w:instrText xml:space="preserve"> PAGEREF _Toc134376639 \h </w:instrText>
            </w:r>
            <w:r w:rsidR="002732B7" w:rsidRPr="00D02606">
              <w:rPr>
                <w:rFonts w:ascii="Times New Roman" w:hAnsi="Times New Roman" w:cs="Times New Roman"/>
                <w:noProof/>
                <w:webHidden/>
                <w:sz w:val="24"/>
                <w:szCs w:val="24"/>
              </w:rPr>
            </w:r>
            <w:r w:rsidR="002732B7" w:rsidRPr="00D02606">
              <w:rPr>
                <w:rFonts w:ascii="Times New Roman" w:hAnsi="Times New Roman" w:cs="Times New Roman"/>
                <w:noProof/>
                <w:webHidden/>
                <w:sz w:val="24"/>
                <w:szCs w:val="24"/>
              </w:rPr>
              <w:fldChar w:fldCharType="separate"/>
            </w:r>
            <w:r w:rsidR="00D02606" w:rsidRPr="00D02606">
              <w:rPr>
                <w:rFonts w:ascii="Times New Roman" w:hAnsi="Times New Roman" w:cs="Times New Roman"/>
                <w:noProof/>
                <w:webHidden/>
                <w:sz w:val="24"/>
                <w:szCs w:val="24"/>
              </w:rPr>
              <w:t>21</w:t>
            </w:r>
            <w:r w:rsidR="002732B7" w:rsidRPr="00D02606">
              <w:rPr>
                <w:rFonts w:ascii="Times New Roman" w:hAnsi="Times New Roman" w:cs="Times New Roman"/>
                <w:noProof/>
                <w:webHidden/>
                <w:sz w:val="24"/>
                <w:szCs w:val="24"/>
              </w:rPr>
              <w:fldChar w:fldCharType="end"/>
            </w:r>
          </w:hyperlink>
        </w:p>
        <w:p w14:paraId="3A0B47FD" w14:textId="6AB0AEB2" w:rsidR="002732B7" w:rsidRPr="00D02606" w:rsidRDefault="00000000">
          <w:pPr>
            <w:pStyle w:val="TDC2"/>
            <w:tabs>
              <w:tab w:val="left" w:pos="880"/>
              <w:tab w:val="right" w:leader="dot" w:pos="9089"/>
            </w:tabs>
            <w:rPr>
              <w:rFonts w:ascii="Times New Roman" w:eastAsiaTheme="minorEastAsia" w:hAnsi="Times New Roman" w:cs="Times New Roman"/>
              <w:noProof/>
              <w:kern w:val="2"/>
              <w:sz w:val="24"/>
              <w:szCs w:val="24"/>
              <w:lang w:eastAsia="es-CO"/>
              <w14:ligatures w14:val="standardContextual"/>
            </w:rPr>
          </w:pPr>
          <w:hyperlink w:anchor="_Toc134376640" w:history="1">
            <w:r w:rsidR="002732B7" w:rsidRPr="00D02606">
              <w:rPr>
                <w:rStyle w:val="Hipervnculo"/>
                <w:rFonts w:ascii="Times New Roman" w:eastAsia="Times New Roman" w:hAnsi="Times New Roman" w:cs="Times New Roman"/>
                <w:b/>
                <w:noProof/>
                <w:sz w:val="24"/>
                <w:szCs w:val="24"/>
              </w:rPr>
              <w:t>1.8.</w:t>
            </w:r>
            <w:r w:rsidR="002732B7" w:rsidRPr="00D02606">
              <w:rPr>
                <w:rFonts w:ascii="Times New Roman" w:eastAsiaTheme="minorEastAsia" w:hAnsi="Times New Roman" w:cs="Times New Roman"/>
                <w:noProof/>
                <w:kern w:val="2"/>
                <w:sz w:val="24"/>
                <w:szCs w:val="24"/>
                <w:lang w:eastAsia="es-CO"/>
                <w14:ligatures w14:val="standardContextual"/>
              </w:rPr>
              <w:tab/>
            </w:r>
            <w:r w:rsidR="002732B7" w:rsidRPr="00D02606">
              <w:rPr>
                <w:rStyle w:val="Hipervnculo"/>
                <w:rFonts w:ascii="Times New Roman" w:eastAsia="Times New Roman" w:hAnsi="Times New Roman" w:cs="Times New Roman"/>
                <w:b/>
                <w:noProof/>
                <w:sz w:val="24"/>
                <w:szCs w:val="24"/>
              </w:rPr>
              <w:t>Presunciones</w:t>
            </w:r>
            <w:r w:rsidR="002732B7" w:rsidRPr="00D02606">
              <w:rPr>
                <w:rFonts w:ascii="Times New Roman" w:hAnsi="Times New Roman" w:cs="Times New Roman"/>
                <w:noProof/>
                <w:webHidden/>
                <w:sz w:val="24"/>
                <w:szCs w:val="24"/>
              </w:rPr>
              <w:tab/>
            </w:r>
            <w:r w:rsidR="002732B7" w:rsidRPr="00D02606">
              <w:rPr>
                <w:rFonts w:ascii="Times New Roman" w:hAnsi="Times New Roman" w:cs="Times New Roman"/>
                <w:noProof/>
                <w:webHidden/>
                <w:sz w:val="24"/>
                <w:szCs w:val="24"/>
              </w:rPr>
              <w:fldChar w:fldCharType="begin"/>
            </w:r>
            <w:r w:rsidR="002732B7" w:rsidRPr="00D02606">
              <w:rPr>
                <w:rFonts w:ascii="Times New Roman" w:hAnsi="Times New Roman" w:cs="Times New Roman"/>
                <w:noProof/>
                <w:webHidden/>
                <w:sz w:val="24"/>
                <w:szCs w:val="24"/>
              </w:rPr>
              <w:instrText xml:space="preserve"> PAGEREF _Toc134376640 \h </w:instrText>
            </w:r>
            <w:r w:rsidR="002732B7" w:rsidRPr="00D02606">
              <w:rPr>
                <w:rFonts w:ascii="Times New Roman" w:hAnsi="Times New Roman" w:cs="Times New Roman"/>
                <w:noProof/>
                <w:webHidden/>
                <w:sz w:val="24"/>
                <w:szCs w:val="24"/>
              </w:rPr>
            </w:r>
            <w:r w:rsidR="002732B7" w:rsidRPr="00D02606">
              <w:rPr>
                <w:rFonts w:ascii="Times New Roman" w:hAnsi="Times New Roman" w:cs="Times New Roman"/>
                <w:noProof/>
                <w:webHidden/>
                <w:sz w:val="24"/>
                <w:szCs w:val="24"/>
              </w:rPr>
              <w:fldChar w:fldCharType="separate"/>
            </w:r>
            <w:r w:rsidR="00D02606" w:rsidRPr="00D02606">
              <w:rPr>
                <w:rFonts w:ascii="Times New Roman" w:hAnsi="Times New Roman" w:cs="Times New Roman"/>
                <w:noProof/>
                <w:webHidden/>
                <w:sz w:val="24"/>
                <w:szCs w:val="24"/>
              </w:rPr>
              <w:t>21</w:t>
            </w:r>
            <w:r w:rsidR="002732B7" w:rsidRPr="00D02606">
              <w:rPr>
                <w:rFonts w:ascii="Times New Roman" w:hAnsi="Times New Roman" w:cs="Times New Roman"/>
                <w:noProof/>
                <w:webHidden/>
                <w:sz w:val="24"/>
                <w:szCs w:val="24"/>
              </w:rPr>
              <w:fldChar w:fldCharType="end"/>
            </w:r>
          </w:hyperlink>
        </w:p>
        <w:p w14:paraId="5DD58681" w14:textId="7FD4B89A" w:rsidR="002732B7" w:rsidRPr="00D02606" w:rsidRDefault="00000000">
          <w:pPr>
            <w:pStyle w:val="TDC2"/>
            <w:tabs>
              <w:tab w:val="left" w:pos="1100"/>
              <w:tab w:val="right" w:leader="dot" w:pos="9089"/>
            </w:tabs>
            <w:rPr>
              <w:rFonts w:ascii="Times New Roman" w:eastAsiaTheme="minorEastAsia" w:hAnsi="Times New Roman" w:cs="Times New Roman"/>
              <w:noProof/>
              <w:kern w:val="2"/>
              <w:sz w:val="24"/>
              <w:szCs w:val="24"/>
              <w:lang w:eastAsia="es-CO"/>
              <w14:ligatures w14:val="standardContextual"/>
            </w:rPr>
          </w:pPr>
          <w:hyperlink w:anchor="_Toc134376641" w:history="1">
            <w:r w:rsidR="002732B7" w:rsidRPr="00D02606">
              <w:rPr>
                <w:rStyle w:val="Hipervnculo"/>
                <w:rFonts w:ascii="Times New Roman" w:eastAsia="Times New Roman" w:hAnsi="Times New Roman" w:cs="Times New Roman"/>
                <w:b/>
                <w:noProof/>
                <w:sz w:val="24"/>
                <w:szCs w:val="24"/>
              </w:rPr>
              <w:t>1.8.1.</w:t>
            </w:r>
            <w:r w:rsidR="00321BB5">
              <w:rPr>
                <w:rFonts w:ascii="Times New Roman" w:eastAsiaTheme="minorEastAsia" w:hAnsi="Times New Roman" w:cs="Times New Roman"/>
                <w:noProof/>
                <w:kern w:val="2"/>
                <w:sz w:val="24"/>
                <w:szCs w:val="24"/>
                <w:lang w:eastAsia="es-CO"/>
                <w14:ligatures w14:val="standardContextual"/>
              </w:rPr>
              <w:t xml:space="preserve">  </w:t>
            </w:r>
            <w:r w:rsidR="002732B7" w:rsidRPr="00D02606">
              <w:rPr>
                <w:rStyle w:val="Hipervnculo"/>
                <w:rFonts w:ascii="Times New Roman" w:eastAsia="Times New Roman" w:hAnsi="Times New Roman" w:cs="Times New Roman"/>
                <w:b/>
                <w:noProof/>
                <w:sz w:val="24"/>
                <w:szCs w:val="24"/>
              </w:rPr>
              <w:t xml:space="preserve">Presunción en derecho </w:t>
            </w:r>
            <w:r w:rsidR="002732B7" w:rsidRPr="00D02606">
              <w:rPr>
                <w:rStyle w:val="Hipervnculo"/>
                <w:rFonts w:ascii="Times New Roman" w:eastAsia="Times New Roman" w:hAnsi="Times New Roman" w:cs="Times New Roman"/>
                <w:b/>
                <w:i/>
                <w:noProof/>
                <w:sz w:val="24"/>
                <w:szCs w:val="24"/>
              </w:rPr>
              <w:t>iuris et de iure</w:t>
            </w:r>
            <w:r w:rsidR="002732B7" w:rsidRPr="00D02606">
              <w:rPr>
                <w:rFonts w:ascii="Times New Roman" w:hAnsi="Times New Roman" w:cs="Times New Roman"/>
                <w:noProof/>
                <w:webHidden/>
                <w:sz w:val="24"/>
                <w:szCs w:val="24"/>
              </w:rPr>
              <w:tab/>
            </w:r>
            <w:r w:rsidR="002732B7" w:rsidRPr="00D02606">
              <w:rPr>
                <w:rFonts w:ascii="Times New Roman" w:hAnsi="Times New Roman" w:cs="Times New Roman"/>
                <w:noProof/>
                <w:webHidden/>
                <w:sz w:val="24"/>
                <w:szCs w:val="24"/>
              </w:rPr>
              <w:fldChar w:fldCharType="begin"/>
            </w:r>
            <w:r w:rsidR="002732B7" w:rsidRPr="00D02606">
              <w:rPr>
                <w:rFonts w:ascii="Times New Roman" w:hAnsi="Times New Roman" w:cs="Times New Roman"/>
                <w:noProof/>
                <w:webHidden/>
                <w:sz w:val="24"/>
                <w:szCs w:val="24"/>
              </w:rPr>
              <w:instrText xml:space="preserve"> PAGEREF _Toc134376641 \h </w:instrText>
            </w:r>
            <w:r w:rsidR="002732B7" w:rsidRPr="00D02606">
              <w:rPr>
                <w:rFonts w:ascii="Times New Roman" w:hAnsi="Times New Roman" w:cs="Times New Roman"/>
                <w:noProof/>
                <w:webHidden/>
                <w:sz w:val="24"/>
                <w:szCs w:val="24"/>
              </w:rPr>
            </w:r>
            <w:r w:rsidR="002732B7" w:rsidRPr="00D02606">
              <w:rPr>
                <w:rFonts w:ascii="Times New Roman" w:hAnsi="Times New Roman" w:cs="Times New Roman"/>
                <w:noProof/>
                <w:webHidden/>
                <w:sz w:val="24"/>
                <w:szCs w:val="24"/>
              </w:rPr>
              <w:fldChar w:fldCharType="separate"/>
            </w:r>
            <w:r w:rsidR="00D02606" w:rsidRPr="00D02606">
              <w:rPr>
                <w:rFonts w:ascii="Times New Roman" w:hAnsi="Times New Roman" w:cs="Times New Roman"/>
                <w:noProof/>
                <w:webHidden/>
                <w:sz w:val="24"/>
                <w:szCs w:val="24"/>
              </w:rPr>
              <w:t>21</w:t>
            </w:r>
            <w:r w:rsidR="002732B7" w:rsidRPr="00D02606">
              <w:rPr>
                <w:rFonts w:ascii="Times New Roman" w:hAnsi="Times New Roman" w:cs="Times New Roman"/>
                <w:noProof/>
                <w:webHidden/>
                <w:sz w:val="24"/>
                <w:szCs w:val="24"/>
              </w:rPr>
              <w:fldChar w:fldCharType="end"/>
            </w:r>
          </w:hyperlink>
        </w:p>
        <w:p w14:paraId="6395FBA5" w14:textId="6034D6DD" w:rsidR="002732B7" w:rsidRPr="00D02606" w:rsidRDefault="00000000">
          <w:pPr>
            <w:pStyle w:val="TDC2"/>
            <w:tabs>
              <w:tab w:val="left" w:pos="1100"/>
              <w:tab w:val="right" w:leader="dot" w:pos="9089"/>
            </w:tabs>
            <w:rPr>
              <w:rFonts w:ascii="Times New Roman" w:eastAsiaTheme="minorEastAsia" w:hAnsi="Times New Roman" w:cs="Times New Roman"/>
              <w:noProof/>
              <w:kern w:val="2"/>
              <w:sz w:val="24"/>
              <w:szCs w:val="24"/>
              <w:lang w:eastAsia="es-CO"/>
              <w14:ligatures w14:val="standardContextual"/>
            </w:rPr>
          </w:pPr>
          <w:hyperlink w:anchor="_Toc134376642" w:history="1">
            <w:r w:rsidR="002732B7" w:rsidRPr="00D02606">
              <w:rPr>
                <w:rStyle w:val="Hipervnculo"/>
                <w:rFonts w:ascii="Times New Roman" w:eastAsia="Times New Roman" w:hAnsi="Times New Roman" w:cs="Times New Roman"/>
                <w:b/>
                <w:bCs/>
                <w:noProof/>
                <w:sz w:val="24"/>
                <w:szCs w:val="24"/>
              </w:rPr>
              <w:t>1.8.2.</w:t>
            </w:r>
            <w:r w:rsidR="00321BB5">
              <w:rPr>
                <w:rFonts w:ascii="Times New Roman" w:eastAsiaTheme="minorEastAsia" w:hAnsi="Times New Roman" w:cs="Times New Roman"/>
                <w:noProof/>
                <w:kern w:val="2"/>
                <w:sz w:val="24"/>
                <w:szCs w:val="24"/>
                <w:lang w:eastAsia="es-CO"/>
                <w14:ligatures w14:val="standardContextual"/>
              </w:rPr>
              <w:t xml:space="preserve">  </w:t>
            </w:r>
            <w:r w:rsidR="002732B7" w:rsidRPr="00D02606">
              <w:rPr>
                <w:rStyle w:val="Hipervnculo"/>
                <w:rFonts w:ascii="Times New Roman" w:eastAsia="Times New Roman" w:hAnsi="Times New Roman" w:cs="Times New Roman"/>
                <w:b/>
                <w:bCs/>
                <w:noProof/>
                <w:sz w:val="24"/>
                <w:szCs w:val="24"/>
              </w:rPr>
              <w:t xml:space="preserve">Presunción legal </w:t>
            </w:r>
            <w:r w:rsidR="002732B7" w:rsidRPr="00D02606">
              <w:rPr>
                <w:rStyle w:val="Hipervnculo"/>
                <w:rFonts w:ascii="Times New Roman" w:eastAsia="Times New Roman" w:hAnsi="Times New Roman" w:cs="Times New Roman"/>
                <w:b/>
                <w:bCs/>
                <w:i/>
                <w:noProof/>
                <w:sz w:val="24"/>
                <w:szCs w:val="24"/>
              </w:rPr>
              <w:t>iuris tantum</w:t>
            </w:r>
            <w:r w:rsidR="002732B7" w:rsidRPr="00D02606">
              <w:rPr>
                <w:rFonts w:ascii="Times New Roman" w:hAnsi="Times New Roman" w:cs="Times New Roman"/>
                <w:noProof/>
                <w:webHidden/>
                <w:sz w:val="24"/>
                <w:szCs w:val="24"/>
              </w:rPr>
              <w:tab/>
            </w:r>
            <w:r w:rsidR="002732B7" w:rsidRPr="00D02606">
              <w:rPr>
                <w:rFonts w:ascii="Times New Roman" w:hAnsi="Times New Roman" w:cs="Times New Roman"/>
                <w:noProof/>
                <w:webHidden/>
                <w:sz w:val="24"/>
                <w:szCs w:val="24"/>
              </w:rPr>
              <w:fldChar w:fldCharType="begin"/>
            </w:r>
            <w:r w:rsidR="002732B7" w:rsidRPr="00D02606">
              <w:rPr>
                <w:rFonts w:ascii="Times New Roman" w:hAnsi="Times New Roman" w:cs="Times New Roman"/>
                <w:noProof/>
                <w:webHidden/>
                <w:sz w:val="24"/>
                <w:szCs w:val="24"/>
              </w:rPr>
              <w:instrText xml:space="preserve"> PAGEREF _Toc134376642 \h </w:instrText>
            </w:r>
            <w:r w:rsidR="002732B7" w:rsidRPr="00D02606">
              <w:rPr>
                <w:rFonts w:ascii="Times New Roman" w:hAnsi="Times New Roman" w:cs="Times New Roman"/>
                <w:noProof/>
                <w:webHidden/>
                <w:sz w:val="24"/>
                <w:szCs w:val="24"/>
              </w:rPr>
            </w:r>
            <w:r w:rsidR="002732B7" w:rsidRPr="00D02606">
              <w:rPr>
                <w:rFonts w:ascii="Times New Roman" w:hAnsi="Times New Roman" w:cs="Times New Roman"/>
                <w:noProof/>
                <w:webHidden/>
                <w:sz w:val="24"/>
                <w:szCs w:val="24"/>
              </w:rPr>
              <w:fldChar w:fldCharType="separate"/>
            </w:r>
            <w:r w:rsidR="00D02606" w:rsidRPr="00D02606">
              <w:rPr>
                <w:rFonts w:ascii="Times New Roman" w:hAnsi="Times New Roman" w:cs="Times New Roman"/>
                <w:noProof/>
                <w:webHidden/>
                <w:sz w:val="24"/>
                <w:szCs w:val="24"/>
              </w:rPr>
              <w:t>22</w:t>
            </w:r>
            <w:r w:rsidR="002732B7" w:rsidRPr="00D02606">
              <w:rPr>
                <w:rFonts w:ascii="Times New Roman" w:hAnsi="Times New Roman" w:cs="Times New Roman"/>
                <w:noProof/>
                <w:webHidden/>
                <w:sz w:val="24"/>
                <w:szCs w:val="24"/>
              </w:rPr>
              <w:fldChar w:fldCharType="end"/>
            </w:r>
          </w:hyperlink>
        </w:p>
        <w:p w14:paraId="0BE3E1A8" w14:textId="16B75BDD" w:rsidR="002732B7" w:rsidRPr="00D02606" w:rsidRDefault="00000000">
          <w:pPr>
            <w:pStyle w:val="TDC1"/>
            <w:rPr>
              <w:rFonts w:eastAsiaTheme="minorEastAsia"/>
              <w:kern w:val="2"/>
              <w:szCs w:val="24"/>
              <w:lang w:eastAsia="es-CO"/>
              <w14:ligatures w14:val="standardContextual"/>
            </w:rPr>
          </w:pPr>
          <w:hyperlink w:anchor="_Toc134376643" w:history="1">
            <w:r w:rsidR="002732B7" w:rsidRPr="00D02606">
              <w:rPr>
                <w:rStyle w:val="Hipervnculo"/>
                <w:rFonts w:eastAsia="Times New Roman"/>
                <w:b/>
                <w:szCs w:val="24"/>
              </w:rPr>
              <w:t>1.9. Derechos de los menores de edad al acceso de educación sexual</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_Toc134376643 \h </w:instrText>
            </w:r>
            <w:r w:rsidR="002732B7" w:rsidRPr="00D02606">
              <w:rPr>
                <w:webHidden/>
                <w:szCs w:val="24"/>
              </w:rPr>
            </w:r>
            <w:r w:rsidR="002732B7" w:rsidRPr="00D02606">
              <w:rPr>
                <w:webHidden/>
                <w:szCs w:val="24"/>
              </w:rPr>
              <w:fldChar w:fldCharType="separate"/>
            </w:r>
            <w:r w:rsidR="00D02606" w:rsidRPr="00D02606">
              <w:rPr>
                <w:webHidden/>
                <w:szCs w:val="24"/>
              </w:rPr>
              <w:t>22</w:t>
            </w:r>
            <w:r w:rsidR="002732B7" w:rsidRPr="00D02606">
              <w:rPr>
                <w:webHidden/>
                <w:szCs w:val="24"/>
              </w:rPr>
              <w:fldChar w:fldCharType="end"/>
            </w:r>
          </w:hyperlink>
        </w:p>
        <w:p w14:paraId="40548F0C" w14:textId="451FECEC" w:rsidR="002732B7" w:rsidRPr="00D02606" w:rsidRDefault="00000000">
          <w:pPr>
            <w:pStyle w:val="TDC2"/>
            <w:tabs>
              <w:tab w:val="right" w:leader="dot" w:pos="9089"/>
            </w:tabs>
            <w:rPr>
              <w:rFonts w:ascii="Times New Roman" w:eastAsiaTheme="minorEastAsia" w:hAnsi="Times New Roman" w:cs="Times New Roman"/>
              <w:noProof/>
              <w:kern w:val="2"/>
              <w:sz w:val="24"/>
              <w:szCs w:val="24"/>
              <w:lang w:eastAsia="es-CO"/>
              <w14:ligatures w14:val="standardContextual"/>
            </w:rPr>
          </w:pPr>
          <w:hyperlink w:anchor="_Toc134376644" w:history="1">
            <w:r w:rsidR="002732B7" w:rsidRPr="00D02606">
              <w:rPr>
                <w:rStyle w:val="Hipervnculo"/>
                <w:rFonts w:ascii="Times New Roman" w:eastAsia="Times New Roman" w:hAnsi="Times New Roman" w:cs="Times New Roman"/>
                <w:b/>
                <w:noProof/>
                <w:sz w:val="24"/>
                <w:szCs w:val="24"/>
              </w:rPr>
              <w:t>1.9.1. Derecho a la integridad, libertad y formación sexual</w:t>
            </w:r>
            <w:r w:rsidR="002732B7" w:rsidRPr="00D02606">
              <w:rPr>
                <w:rFonts w:ascii="Times New Roman" w:hAnsi="Times New Roman" w:cs="Times New Roman"/>
                <w:noProof/>
                <w:webHidden/>
                <w:sz w:val="24"/>
                <w:szCs w:val="24"/>
              </w:rPr>
              <w:tab/>
            </w:r>
            <w:r w:rsidR="002732B7" w:rsidRPr="00D02606">
              <w:rPr>
                <w:rFonts w:ascii="Times New Roman" w:hAnsi="Times New Roman" w:cs="Times New Roman"/>
                <w:noProof/>
                <w:webHidden/>
                <w:sz w:val="24"/>
                <w:szCs w:val="24"/>
              </w:rPr>
              <w:fldChar w:fldCharType="begin"/>
            </w:r>
            <w:r w:rsidR="002732B7" w:rsidRPr="00D02606">
              <w:rPr>
                <w:rFonts w:ascii="Times New Roman" w:hAnsi="Times New Roman" w:cs="Times New Roman"/>
                <w:noProof/>
                <w:webHidden/>
                <w:sz w:val="24"/>
                <w:szCs w:val="24"/>
              </w:rPr>
              <w:instrText xml:space="preserve"> PAGEREF _Toc134376644 \h </w:instrText>
            </w:r>
            <w:r w:rsidR="002732B7" w:rsidRPr="00D02606">
              <w:rPr>
                <w:rFonts w:ascii="Times New Roman" w:hAnsi="Times New Roman" w:cs="Times New Roman"/>
                <w:noProof/>
                <w:webHidden/>
                <w:sz w:val="24"/>
                <w:szCs w:val="24"/>
              </w:rPr>
            </w:r>
            <w:r w:rsidR="002732B7" w:rsidRPr="00D02606">
              <w:rPr>
                <w:rFonts w:ascii="Times New Roman" w:hAnsi="Times New Roman" w:cs="Times New Roman"/>
                <w:noProof/>
                <w:webHidden/>
                <w:sz w:val="24"/>
                <w:szCs w:val="24"/>
              </w:rPr>
              <w:fldChar w:fldCharType="separate"/>
            </w:r>
            <w:r w:rsidR="00D02606" w:rsidRPr="00D02606">
              <w:rPr>
                <w:rFonts w:ascii="Times New Roman" w:hAnsi="Times New Roman" w:cs="Times New Roman"/>
                <w:noProof/>
                <w:webHidden/>
                <w:sz w:val="24"/>
                <w:szCs w:val="24"/>
              </w:rPr>
              <w:t>24</w:t>
            </w:r>
            <w:r w:rsidR="002732B7" w:rsidRPr="00D02606">
              <w:rPr>
                <w:rFonts w:ascii="Times New Roman" w:hAnsi="Times New Roman" w:cs="Times New Roman"/>
                <w:noProof/>
                <w:webHidden/>
                <w:sz w:val="24"/>
                <w:szCs w:val="24"/>
              </w:rPr>
              <w:fldChar w:fldCharType="end"/>
            </w:r>
          </w:hyperlink>
        </w:p>
        <w:p w14:paraId="07008EDD" w14:textId="345CA10C" w:rsidR="002732B7" w:rsidRPr="00D02606" w:rsidRDefault="00000000">
          <w:pPr>
            <w:pStyle w:val="TDC2"/>
            <w:tabs>
              <w:tab w:val="right" w:leader="dot" w:pos="9089"/>
            </w:tabs>
            <w:rPr>
              <w:rFonts w:ascii="Times New Roman" w:eastAsiaTheme="minorEastAsia" w:hAnsi="Times New Roman" w:cs="Times New Roman"/>
              <w:noProof/>
              <w:kern w:val="2"/>
              <w:sz w:val="24"/>
              <w:szCs w:val="24"/>
              <w:lang w:eastAsia="es-CO"/>
              <w14:ligatures w14:val="standardContextual"/>
            </w:rPr>
          </w:pPr>
          <w:hyperlink w:anchor="_Toc134376645" w:history="1">
            <w:r w:rsidR="002732B7" w:rsidRPr="00D02606">
              <w:rPr>
                <w:rStyle w:val="Hipervnculo"/>
                <w:rFonts w:ascii="Times New Roman" w:eastAsia="Times New Roman" w:hAnsi="Times New Roman" w:cs="Times New Roman"/>
                <w:b/>
                <w:noProof/>
                <w:sz w:val="24"/>
                <w:szCs w:val="24"/>
              </w:rPr>
              <w:t>1.9.2.  Puntos clave para el fortalecimiento del bienestar de los adolescentes</w:t>
            </w:r>
            <w:r w:rsidR="002732B7" w:rsidRPr="00D02606">
              <w:rPr>
                <w:rFonts w:ascii="Times New Roman" w:hAnsi="Times New Roman" w:cs="Times New Roman"/>
                <w:noProof/>
                <w:webHidden/>
                <w:sz w:val="24"/>
                <w:szCs w:val="24"/>
              </w:rPr>
              <w:tab/>
            </w:r>
            <w:r w:rsidR="002732B7" w:rsidRPr="00D02606">
              <w:rPr>
                <w:rFonts w:ascii="Times New Roman" w:hAnsi="Times New Roman" w:cs="Times New Roman"/>
                <w:noProof/>
                <w:webHidden/>
                <w:sz w:val="24"/>
                <w:szCs w:val="24"/>
              </w:rPr>
              <w:fldChar w:fldCharType="begin"/>
            </w:r>
            <w:r w:rsidR="002732B7" w:rsidRPr="00D02606">
              <w:rPr>
                <w:rFonts w:ascii="Times New Roman" w:hAnsi="Times New Roman" w:cs="Times New Roman"/>
                <w:noProof/>
                <w:webHidden/>
                <w:sz w:val="24"/>
                <w:szCs w:val="24"/>
              </w:rPr>
              <w:instrText xml:space="preserve"> PAGEREF _Toc134376645 \h </w:instrText>
            </w:r>
            <w:r w:rsidR="002732B7" w:rsidRPr="00D02606">
              <w:rPr>
                <w:rFonts w:ascii="Times New Roman" w:hAnsi="Times New Roman" w:cs="Times New Roman"/>
                <w:noProof/>
                <w:webHidden/>
                <w:sz w:val="24"/>
                <w:szCs w:val="24"/>
              </w:rPr>
            </w:r>
            <w:r w:rsidR="002732B7" w:rsidRPr="00D02606">
              <w:rPr>
                <w:rFonts w:ascii="Times New Roman" w:hAnsi="Times New Roman" w:cs="Times New Roman"/>
                <w:noProof/>
                <w:webHidden/>
                <w:sz w:val="24"/>
                <w:szCs w:val="24"/>
              </w:rPr>
              <w:fldChar w:fldCharType="separate"/>
            </w:r>
            <w:r w:rsidR="00D02606" w:rsidRPr="00D02606">
              <w:rPr>
                <w:rFonts w:ascii="Times New Roman" w:hAnsi="Times New Roman" w:cs="Times New Roman"/>
                <w:noProof/>
                <w:webHidden/>
                <w:sz w:val="24"/>
                <w:szCs w:val="24"/>
              </w:rPr>
              <w:t>25</w:t>
            </w:r>
            <w:r w:rsidR="002732B7" w:rsidRPr="00D02606">
              <w:rPr>
                <w:rFonts w:ascii="Times New Roman" w:hAnsi="Times New Roman" w:cs="Times New Roman"/>
                <w:noProof/>
                <w:webHidden/>
                <w:sz w:val="24"/>
                <w:szCs w:val="24"/>
              </w:rPr>
              <w:fldChar w:fldCharType="end"/>
            </w:r>
          </w:hyperlink>
        </w:p>
        <w:p w14:paraId="3B755D0C" w14:textId="0B2EDF24" w:rsidR="002732B7" w:rsidRPr="00D02606" w:rsidRDefault="00000000">
          <w:pPr>
            <w:pStyle w:val="TDC1"/>
            <w:rPr>
              <w:rFonts w:eastAsiaTheme="minorEastAsia"/>
              <w:kern w:val="2"/>
              <w:szCs w:val="24"/>
              <w:lang w:eastAsia="es-CO"/>
              <w14:ligatures w14:val="standardContextual"/>
            </w:rPr>
          </w:pPr>
          <w:hyperlink w:anchor="_Toc134376646" w:history="1">
            <w:r w:rsidR="002732B7" w:rsidRPr="00D02606">
              <w:rPr>
                <w:rStyle w:val="Hipervnculo"/>
                <w:rFonts w:eastAsia="Times New Roman"/>
                <w:b/>
                <w:szCs w:val="24"/>
              </w:rPr>
              <w:t>1.10. Aspectos criminológicos e incidencias en la víctima por la comisión del delito</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_Toc134376646 \h </w:instrText>
            </w:r>
            <w:r w:rsidR="002732B7" w:rsidRPr="00D02606">
              <w:rPr>
                <w:webHidden/>
                <w:szCs w:val="24"/>
              </w:rPr>
            </w:r>
            <w:r w:rsidR="002732B7" w:rsidRPr="00D02606">
              <w:rPr>
                <w:webHidden/>
                <w:szCs w:val="24"/>
              </w:rPr>
              <w:fldChar w:fldCharType="separate"/>
            </w:r>
            <w:r w:rsidR="00D02606" w:rsidRPr="00D02606">
              <w:rPr>
                <w:webHidden/>
                <w:szCs w:val="24"/>
              </w:rPr>
              <w:t>27</w:t>
            </w:r>
            <w:r w:rsidR="002732B7" w:rsidRPr="00D02606">
              <w:rPr>
                <w:webHidden/>
                <w:szCs w:val="24"/>
              </w:rPr>
              <w:fldChar w:fldCharType="end"/>
            </w:r>
          </w:hyperlink>
        </w:p>
        <w:p w14:paraId="207F6802" w14:textId="16E66F8A" w:rsidR="002732B7" w:rsidRPr="00D02606" w:rsidRDefault="00000000">
          <w:pPr>
            <w:pStyle w:val="TDC1"/>
            <w:rPr>
              <w:rFonts w:eastAsiaTheme="minorEastAsia"/>
              <w:kern w:val="2"/>
              <w:szCs w:val="24"/>
              <w:lang w:eastAsia="es-CO"/>
              <w14:ligatures w14:val="standardContextual"/>
            </w:rPr>
          </w:pPr>
          <w:hyperlink w:anchor="_Toc134376647" w:history="1">
            <w:r w:rsidR="002732B7" w:rsidRPr="00D02606">
              <w:rPr>
                <w:rStyle w:val="Hipervnculo"/>
                <w:rFonts w:eastAsia="Times New Roman"/>
                <w:b/>
                <w:bCs/>
                <w:szCs w:val="24"/>
              </w:rPr>
              <w:t>1.11. Estadística de consentimiento en delitos sexuales atendidos en el Departamento del Caquetá por la Fiscalía de la Unidad de Responsabilidad Penal para Adolescentes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_Toc134376647 \h </w:instrText>
            </w:r>
            <w:r w:rsidR="002732B7" w:rsidRPr="00D02606">
              <w:rPr>
                <w:webHidden/>
                <w:szCs w:val="24"/>
              </w:rPr>
            </w:r>
            <w:r w:rsidR="002732B7" w:rsidRPr="00D02606">
              <w:rPr>
                <w:webHidden/>
                <w:szCs w:val="24"/>
              </w:rPr>
              <w:fldChar w:fldCharType="separate"/>
            </w:r>
            <w:r w:rsidR="00D02606" w:rsidRPr="00D02606">
              <w:rPr>
                <w:webHidden/>
                <w:szCs w:val="24"/>
              </w:rPr>
              <w:t>28</w:t>
            </w:r>
            <w:r w:rsidR="002732B7" w:rsidRPr="00D02606">
              <w:rPr>
                <w:webHidden/>
                <w:szCs w:val="24"/>
              </w:rPr>
              <w:fldChar w:fldCharType="end"/>
            </w:r>
          </w:hyperlink>
        </w:p>
        <w:p w14:paraId="52C5D59D" w14:textId="266EA592" w:rsidR="002732B7" w:rsidRPr="00D02606" w:rsidRDefault="00000000">
          <w:pPr>
            <w:pStyle w:val="TDC1"/>
            <w:rPr>
              <w:rFonts w:eastAsiaTheme="minorEastAsia"/>
              <w:kern w:val="2"/>
              <w:szCs w:val="24"/>
              <w:lang w:eastAsia="es-CO"/>
              <w14:ligatures w14:val="standardContextual"/>
            </w:rPr>
          </w:pPr>
          <w:hyperlink w:anchor="_Toc134376648" w:history="1">
            <w:r w:rsidR="002732B7" w:rsidRPr="00D02606">
              <w:rPr>
                <w:rStyle w:val="Hipervnculo"/>
                <w:rFonts w:eastAsia="Times New Roman"/>
                <w:b/>
                <w:bCs/>
                <w:szCs w:val="24"/>
              </w:rPr>
              <w:t>CAPÍTULO II</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_Toc134376648 \h </w:instrText>
            </w:r>
            <w:r w:rsidR="002732B7" w:rsidRPr="00D02606">
              <w:rPr>
                <w:webHidden/>
                <w:szCs w:val="24"/>
              </w:rPr>
            </w:r>
            <w:r w:rsidR="002732B7" w:rsidRPr="00D02606">
              <w:rPr>
                <w:webHidden/>
                <w:szCs w:val="24"/>
              </w:rPr>
              <w:fldChar w:fldCharType="separate"/>
            </w:r>
            <w:r w:rsidR="00D02606" w:rsidRPr="00D02606">
              <w:rPr>
                <w:webHidden/>
                <w:szCs w:val="24"/>
              </w:rPr>
              <w:t>30</w:t>
            </w:r>
            <w:r w:rsidR="002732B7" w:rsidRPr="00D02606">
              <w:rPr>
                <w:webHidden/>
                <w:szCs w:val="24"/>
              </w:rPr>
              <w:fldChar w:fldCharType="end"/>
            </w:r>
          </w:hyperlink>
        </w:p>
        <w:p w14:paraId="0AA0CD6B" w14:textId="123B0F09" w:rsidR="002732B7" w:rsidRPr="00D02606" w:rsidRDefault="00000000">
          <w:pPr>
            <w:pStyle w:val="TDC1"/>
            <w:rPr>
              <w:rFonts w:eastAsiaTheme="minorEastAsia"/>
              <w:kern w:val="2"/>
              <w:szCs w:val="24"/>
              <w:lang w:eastAsia="es-CO"/>
              <w14:ligatures w14:val="standardContextual"/>
            </w:rPr>
          </w:pPr>
          <w:hyperlink w:anchor="_Toc134376649" w:history="1">
            <w:r w:rsidR="002732B7" w:rsidRPr="00D02606">
              <w:rPr>
                <w:rStyle w:val="Hipervnculo"/>
                <w:rFonts w:eastAsia="Times New Roman"/>
                <w:b/>
                <w:bCs/>
                <w:szCs w:val="24"/>
              </w:rPr>
              <w:t>LA APLICACIÓN DEL PRINCIPIO DE OPORTUNIDAD EN LOS PROCESOS DEL SISTEMA DE RESPON</w:t>
            </w:r>
            <w:r w:rsidR="007F5AE5" w:rsidRPr="00D02606">
              <w:rPr>
                <w:rStyle w:val="Hipervnculo"/>
                <w:rFonts w:eastAsia="Times New Roman"/>
                <w:b/>
                <w:bCs/>
                <w:szCs w:val="24"/>
              </w:rPr>
              <w:t>S</w:t>
            </w:r>
            <w:r w:rsidR="002732B7" w:rsidRPr="00D02606">
              <w:rPr>
                <w:rStyle w:val="Hipervnculo"/>
                <w:rFonts w:eastAsia="Times New Roman"/>
                <w:b/>
                <w:bCs/>
                <w:szCs w:val="24"/>
              </w:rPr>
              <w:t>ABILIDAD PENAL PARA ADOLESCENTES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_Toc134376649 \h </w:instrText>
            </w:r>
            <w:r w:rsidR="002732B7" w:rsidRPr="00D02606">
              <w:rPr>
                <w:webHidden/>
                <w:szCs w:val="24"/>
              </w:rPr>
            </w:r>
            <w:r w:rsidR="002732B7" w:rsidRPr="00D02606">
              <w:rPr>
                <w:webHidden/>
                <w:szCs w:val="24"/>
              </w:rPr>
              <w:fldChar w:fldCharType="separate"/>
            </w:r>
            <w:r w:rsidR="00D02606" w:rsidRPr="00D02606">
              <w:rPr>
                <w:webHidden/>
                <w:szCs w:val="24"/>
              </w:rPr>
              <w:t>30</w:t>
            </w:r>
            <w:r w:rsidR="002732B7" w:rsidRPr="00D02606">
              <w:rPr>
                <w:webHidden/>
                <w:szCs w:val="24"/>
              </w:rPr>
              <w:fldChar w:fldCharType="end"/>
            </w:r>
          </w:hyperlink>
        </w:p>
        <w:p w14:paraId="55F52C21" w14:textId="6891AB95" w:rsidR="002732B7" w:rsidRPr="00D02606" w:rsidRDefault="00000000">
          <w:pPr>
            <w:pStyle w:val="TDC1"/>
            <w:rPr>
              <w:rFonts w:eastAsiaTheme="minorEastAsia"/>
              <w:kern w:val="2"/>
              <w:szCs w:val="24"/>
              <w:lang w:eastAsia="es-CO"/>
              <w14:ligatures w14:val="standardContextual"/>
            </w:rPr>
          </w:pPr>
          <w:hyperlink w:anchor="_Toc134376650" w:history="1">
            <w:r w:rsidR="002732B7" w:rsidRPr="00D02606">
              <w:rPr>
                <w:rStyle w:val="Hipervnculo"/>
                <w:rFonts w:eastAsia="Times New Roman"/>
                <w:b/>
                <w:szCs w:val="24"/>
              </w:rPr>
              <w:t>CAPÍTULO III</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_Toc134376650 \h </w:instrText>
            </w:r>
            <w:r w:rsidR="002732B7" w:rsidRPr="00D02606">
              <w:rPr>
                <w:webHidden/>
                <w:szCs w:val="24"/>
              </w:rPr>
            </w:r>
            <w:r w:rsidR="002732B7" w:rsidRPr="00D02606">
              <w:rPr>
                <w:webHidden/>
                <w:szCs w:val="24"/>
              </w:rPr>
              <w:fldChar w:fldCharType="separate"/>
            </w:r>
            <w:r w:rsidR="00D02606" w:rsidRPr="00D02606">
              <w:rPr>
                <w:webHidden/>
                <w:szCs w:val="24"/>
              </w:rPr>
              <w:t>39</w:t>
            </w:r>
            <w:r w:rsidR="002732B7" w:rsidRPr="00D02606">
              <w:rPr>
                <w:webHidden/>
                <w:szCs w:val="24"/>
              </w:rPr>
              <w:fldChar w:fldCharType="end"/>
            </w:r>
          </w:hyperlink>
        </w:p>
        <w:p w14:paraId="39AAD8E9" w14:textId="1029816D" w:rsidR="002732B7" w:rsidRPr="00D02606" w:rsidRDefault="00000000">
          <w:pPr>
            <w:pStyle w:val="TDC1"/>
            <w:rPr>
              <w:rFonts w:eastAsiaTheme="minorEastAsia"/>
              <w:kern w:val="2"/>
              <w:szCs w:val="24"/>
              <w:lang w:eastAsia="es-CO"/>
              <w14:ligatures w14:val="standardContextual"/>
            </w:rPr>
          </w:pPr>
          <w:hyperlink w:anchor="_Toc134376651" w:history="1">
            <w:r w:rsidR="002732B7" w:rsidRPr="00D02606">
              <w:rPr>
                <w:rStyle w:val="Hipervnculo"/>
                <w:b/>
                <w:bCs/>
                <w:szCs w:val="24"/>
              </w:rPr>
              <w:t>MADURACION SEXUAL DE LOS ADOLESCENTES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_Toc134376651 \h </w:instrText>
            </w:r>
            <w:r w:rsidR="002732B7" w:rsidRPr="00D02606">
              <w:rPr>
                <w:webHidden/>
                <w:szCs w:val="24"/>
              </w:rPr>
            </w:r>
            <w:r w:rsidR="002732B7" w:rsidRPr="00D02606">
              <w:rPr>
                <w:webHidden/>
                <w:szCs w:val="24"/>
              </w:rPr>
              <w:fldChar w:fldCharType="separate"/>
            </w:r>
            <w:r w:rsidR="00D02606" w:rsidRPr="00D02606">
              <w:rPr>
                <w:webHidden/>
                <w:szCs w:val="24"/>
              </w:rPr>
              <w:t>39</w:t>
            </w:r>
            <w:r w:rsidR="002732B7" w:rsidRPr="00D02606">
              <w:rPr>
                <w:webHidden/>
                <w:szCs w:val="24"/>
              </w:rPr>
              <w:fldChar w:fldCharType="end"/>
            </w:r>
          </w:hyperlink>
        </w:p>
        <w:p w14:paraId="6A504433" w14:textId="28F91D54" w:rsidR="002732B7" w:rsidRPr="00D02606" w:rsidRDefault="00000000">
          <w:pPr>
            <w:pStyle w:val="TDC1"/>
            <w:rPr>
              <w:rFonts w:eastAsiaTheme="minorEastAsia"/>
              <w:kern w:val="2"/>
              <w:szCs w:val="24"/>
              <w:lang w:eastAsia="es-CO"/>
              <w14:ligatures w14:val="standardContextual"/>
            </w:rPr>
          </w:pPr>
          <w:hyperlink w:anchor="_Toc134376652" w:history="1">
            <w:r w:rsidR="002732B7" w:rsidRPr="00D02606">
              <w:rPr>
                <w:rStyle w:val="Hipervnculo"/>
                <w:rFonts w:eastAsia="Times New Roman"/>
                <w:b/>
                <w:szCs w:val="24"/>
              </w:rPr>
              <w:t>3.1. Maduración de los procesos cognitivos de la infancia tardía a la edad adulta</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_Toc134376652 \h </w:instrText>
            </w:r>
            <w:r w:rsidR="002732B7" w:rsidRPr="00D02606">
              <w:rPr>
                <w:webHidden/>
                <w:szCs w:val="24"/>
              </w:rPr>
            </w:r>
            <w:r w:rsidR="002732B7" w:rsidRPr="00D02606">
              <w:rPr>
                <w:webHidden/>
                <w:szCs w:val="24"/>
              </w:rPr>
              <w:fldChar w:fldCharType="separate"/>
            </w:r>
            <w:r w:rsidR="00D02606" w:rsidRPr="00D02606">
              <w:rPr>
                <w:webHidden/>
                <w:szCs w:val="24"/>
              </w:rPr>
              <w:t>39</w:t>
            </w:r>
            <w:r w:rsidR="002732B7" w:rsidRPr="00D02606">
              <w:rPr>
                <w:webHidden/>
                <w:szCs w:val="24"/>
              </w:rPr>
              <w:fldChar w:fldCharType="end"/>
            </w:r>
          </w:hyperlink>
        </w:p>
        <w:p w14:paraId="24554566" w14:textId="11047D7A" w:rsidR="002732B7" w:rsidRPr="00D02606" w:rsidRDefault="00000000">
          <w:pPr>
            <w:pStyle w:val="TDC1"/>
            <w:rPr>
              <w:rFonts w:eastAsiaTheme="minorEastAsia"/>
              <w:kern w:val="2"/>
              <w:szCs w:val="24"/>
              <w:lang w:eastAsia="es-CO"/>
              <w14:ligatures w14:val="standardContextual"/>
            </w:rPr>
          </w:pPr>
          <w:hyperlink w:anchor="_Toc134376653" w:history="1">
            <w:r w:rsidR="002732B7" w:rsidRPr="00D02606">
              <w:rPr>
                <w:rStyle w:val="Hipervnculo"/>
                <w:rFonts w:eastAsia="Times New Roman"/>
                <w:b/>
                <w:bCs/>
                <w:szCs w:val="24"/>
              </w:rPr>
              <w:t>3.2. Perspectivas comparadas sobre las transiciones sexuales, matrimoniales y reproductivas de los adolescentes según Ruth Dixon Mueller</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_Toc134376653 \h </w:instrText>
            </w:r>
            <w:r w:rsidR="002732B7" w:rsidRPr="00D02606">
              <w:rPr>
                <w:webHidden/>
                <w:szCs w:val="24"/>
              </w:rPr>
            </w:r>
            <w:r w:rsidR="002732B7" w:rsidRPr="00D02606">
              <w:rPr>
                <w:webHidden/>
                <w:szCs w:val="24"/>
              </w:rPr>
              <w:fldChar w:fldCharType="separate"/>
            </w:r>
            <w:r w:rsidR="00D02606" w:rsidRPr="00D02606">
              <w:rPr>
                <w:webHidden/>
                <w:szCs w:val="24"/>
              </w:rPr>
              <w:t>46</w:t>
            </w:r>
            <w:r w:rsidR="002732B7" w:rsidRPr="00D02606">
              <w:rPr>
                <w:webHidden/>
                <w:szCs w:val="24"/>
              </w:rPr>
              <w:fldChar w:fldCharType="end"/>
            </w:r>
          </w:hyperlink>
        </w:p>
        <w:p w14:paraId="765430F8" w14:textId="12DA53EC" w:rsidR="002732B7" w:rsidRPr="00D02606" w:rsidRDefault="00000000">
          <w:pPr>
            <w:pStyle w:val="TDC1"/>
            <w:rPr>
              <w:rFonts w:eastAsiaTheme="minorEastAsia"/>
              <w:kern w:val="2"/>
              <w:szCs w:val="24"/>
              <w:lang w:eastAsia="es-CO"/>
              <w14:ligatures w14:val="standardContextual"/>
            </w:rPr>
          </w:pPr>
          <w:hyperlink w:anchor="_Toc134376654" w:history="1">
            <w:r w:rsidR="002732B7" w:rsidRPr="00D02606">
              <w:rPr>
                <w:rStyle w:val="Hipervnculo"/>
                <w:rFonts w:eastAsia="Times New Roman"/>
                <w:b/>
                <w:szCs w:val="24"/>
              </w:rPr>
              <w:t>CONCLUSIONES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_Toc134376654 \h </w:instrText>
            </w:r>
            <w:r w:rsidR="002732B7" w:rsidRPr="00D02606">
              <w:rPr>
                <w:webHidden/>
                <w:szCs w:val="24"/>
              </w:rPr>
            </w:r>
            <w:r w:rsidR="002732B7" w:rsidRPr="00D02606">
              <w:rPr>
                <w:webHidden/>
                <w:szCs w:val="24"/>
              </w:rPr>
              <w:fldChar w:fldCharType="separate"/>
            </w:r>
            <w:r w:rsidR="00D02606" w:rsidRPr="00D02606">
              <w:rPr>
                <w:webHidden/>
                <w:szCs w:val="24"/>
              </w:rPr>
              <w:t>55</w:t>
            </w:r>
            <w:r w:rsidR="002732B7" w:rsidRPr="00D02606">
              <w:rPr>
                <w:webHidden/>
                <w:szCs w:val="24"/>
              </w:rPr>
              <w:fldChar w:fldCharType="end"/>
            </w:r>
          </w:hyperlink>
        </w:p>
        <w:p w14:paraId="16E78EE9" w14:textId="3DC2C0DC" w:rsidR="002732B7" w:rsidRPr="00D02606" w:rsidRDefault="00000000">
          <w:pPr>
            <w:pStyle w:val="TDC1"/>
            <w:rPr>
              <w:rFonts w:eastAsiaTheme="minorEastAsia"/>
              <w:kern w:val="2"/>
              <w:szCs w:val="24"/>
              <w:lang w:eastAsia="es-CO"/>
              <w14:ligatures w14:val="standardContextual"/>
            </w:rPr>
          </w:pPr>
          <w:hyperlink w:anchor="_Toc134376655" w:history="1">
            <w:r w:rsidR="002732B7" w:rsidRPr="00D02606">
              <w:rPr>
                <w:rStyle w:val="Hipervnculo"/>
                <w:rFonts w:eastAsia="Times New Roman"/>
                <w:b/>
                <w:szCs w:val="24"/>
              </w:rPr>
              <w:t>REFERENCIAS BIBLIOGRÁFICAS</w:t>
            </w:r>
            <w:r w:rsidR="002732B7" w:rsidRPr="00D02606">
              <w:rPr>
                <w:webHidden/>
                <w:szCs w:val="24"/>
              </w:rPr>
              <w:tab/>
            </w:r>
            <w:r w:rsidR="002732B7" w:rsidRPr="00D02606">
              <w:rPr>
                <w:webHidden/>
                <w:szCs w:val="24"/>
              </w:rPr>
              <w:fldChar w:fldCharType="begin"/>
            </w:r>
            <w:r w:rsidR="002732B7" w:rsidRPr="00D02606">
              <w:rPr>
                <w:webHidden/>
                <w:szCs w:val="24"/>
              </w:rPr>
              <w:instrText xml:space="preserve"> PAGEREF _Toc134376655 \h </w:instrText>
            </w:r>
            <w:r w:rsidR="002732B7" w:rsidRPr="00D02606">
              <w:rPr>
                <w:webHidden/>
                <w:szCs w:val="24"/>
              </w:rPr>
            </w:r>
            <w:r w:rsidR="002732B7" w:rsidRPr="00D02606">
              <w:rPr>
                <w:webHidden/>
                <w:szCs w:val="24"/>
              </w:rPr>
              <w:fldChar w:fldCharType="separate"/>
            </w:r>
            <w:r w:rsidR="00D02606" w:rsidRPr="00D02606">
              <w:rPr>
                <w:webHidden/>
                <w:szCs w:val="24"/>
              </w:rPr>
              <w:t>63</w:t>
            </w:r>
            <w:r w:rsidR="002732B7" w:rsidRPr="00D02606">
              <w:rPr>
                <w:webHidden/>
                <w:szCs w:val="24"/>
              </w:rPr>
              <w:fldChar w:fldCharType="end"/>
            </w:r>
          </w:hyperlink>
        </w:p>
        <w:p w14:paraId="03DEB4D4" w14:textId="4C623B03" w:rsidR="006E29E6" w:rsidRPr="00F77C11" w:rsidRDefault="006B2674" w:rsidP="002732B7">
          <w:pPr>
            <w:spacing w:after="0" w:line="360" w:lineRule="auto"/>
            <w:rPr>
              <w:rFonts w:ascii="Times New Roman" w:hAnsi="Times New Roman" w:cs="Times New Roman"/>
              <w:sz w:val="24"/>
              <w:szCs w:val="24"/>
            </w:rPr>
          </w:pPr>
          <w:r w:rsidRPr="00F77C11">
            <w:rPr>
              <w:rFonts w:ascii="Times New Roman" w:hAnsi="Times New Roman" w:cs="Times New Roman"/>
              <w:sz w:val="24"/>
              <w:szCs w:val="24"/>
            </w:rPr>
            <w:fldChar w:fldCharType="end"/>
          </w:r>
        </w:p>
      </w:sdtContent>
    </w:sdt>
    <w:p w14:paraId="03DEB4D5" w14:textId="60F3E7AE" w:rsidR="0063426E" w:rsidRDefault="006B2674" w:rsidP="00B939F3">
      <w:pPr>
        <w:pStyle w:val="Ttulo1"/>
        <w:jc w:val="center"/>
        <w:rPr>
          <w:rFonts w:ascii="Times New Roman" w:hAnsi="Times New Roman" w:cs="Times New Roman"/>
          <w:b/>
          <w:bCs/>
          <w:color w:val="auto"/>
          <w:sz w:val="24"/>
          <w:szCs w:val="24"/>
        </w:rPr>
      </w:pPr>
      <w:bookmarkStart w:id="1" w:name="_Toc134376628"/>
      <w:r w:rsidRPr="00BD29A6">
        <w:rPr>
          <w:rFonts w:ascii="Times New Roman" w:hAnsi="Times New Roman" w:cs="Times New Roman"/>
          <w:b/>
          <w:bCs/>
          <w:color w:val="auto"/>
          <w:sz w:val="24"/>
          <w:szCs w:val="24"/>
        </w:rPr>
        <w:t>RESUMEN</w:t>
      </w:r>
      <w:bookmarkEnd w:id="1"/>
    </w:p>
    <w:p w14:paraId="4C0E591F" w14:textId="77777777" w:rsidR="002B283D" w:rsidRPr="002B283D" w:rsidRDefault="002B283D" w:rsidP="002B283D">
      <w:pPr>
        <w:rPr>
          <w:lang w:val="es-MX" w:eastAsia="es-MX"/>
        </w:rPr>
      </w:pPr>
    </w:p>
    <w:p w14:paraId="03DEB4D6" w14:textId="046A8BA7" w:rsidR="0063426E" w:rsidRDefault="006B2674"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w:t>
      </w:r>
      <w:r w:rsidR="0002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según el ordenamiento legal</w:t>
      </w:r>
      <w:r w:rsidR="0002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considera que los menores entre </w:t>
      </w:r>
      <w:r w:rsidR="00321BB5">
        <w:rPr>
          <w:rFonts w:ascii="Times New Roman" w:eastAsia="Times New Roman" w:hAnsi="Times New Roman" w:cs="Times New Roman"/>
          <w:sz w:val="24"/>
          <w:szCs w:val="24"/>
        </w:rPr>
        <w:t>12 y</w:t>
      </w:r>
      <w:r>
        <w:rPr>
          <w:rFonts w:ascii="Times New Roman" w:eastAsia="Times New Roman" w:hAnsi="Times New Roman" w:cs="Times New Roman"/>
          <w:sz w:val="24"/>
          <w:szCs w:val="24"/>
        </w:rPr>
        <w:t xml:space="preserve"> 14 años carecen de capacidad de autodeterminación sexual, por lo que existen preceptos legales que propenden</w:t>
      </w:r>
      <w:r w:rsidR="00020E55">
        <w:rPr>
          <w:rFonts w:ascii="Times New Roman" w:eastAsia="Times New Roman" w:hAnsi="Times New Roman" w:cs="Times New Roman"/>
          <w:sz w:val="24"/>
          <w:szCs w:val="24"/>
        </w:rPr>
        <w:t xml:space="preserve"> por</w:t>
      </w:r>
      <w:r>
        <w:rPr>
          <w:rFonts w:ascii="Times New Roman" w:eastAsia="Times New Roman" w:hAnsi="Times New Roman" w:cs="Times New Roman"/>
          <w:sz w:val="24"/>
          <w:szCs w:val="24"/>
        </w:rPr>
        <w:t xml:space="preserve"> la protección contra</w:t>
      </w:r>
      <w:r w:rsidR="00020E55">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delitos sexuales y cualquier práctica de esta naturaleza que pueda perjudicar su desarrollo </w:t>
      </w:r>
      <w:r w:rsidR="0033707E">
        <w:rPr>
          <w:rFonts w:ascii="Times New Roman" w:eastAsia="Times New Roman" w:hAnsi="Times New Roman" w:cs="Times New Roman"/>
          <w:sz w:val="24"/>
          <w:szCs w:val="24"/>
        </w:rPr>
        <w:t>biopsicosocial</w:t>
      </w:r>
      <w:r>
        <w:rPr>
          <w:rFonts w:ascii="Times New Roman" w:eastAsia="Times New Roman" w:hAnsi="Times New Roman" w:cs="Times New Roman"/>
          <w:sz w:val="24"/>
          <w:szCs w:val="24"/>
        </w:rPr>
        <w:t>, puesto que lo que se busca es que estas prácticas se realicen con suficiente responsabilidad, con consentimiento y sin la afectación de sus derechos fundamentales</w:t>
      </w:r>
      <w:r w:rsidR="00020E55">
        <w:rPr>
          <w:rFonts w:ascii="Times New Roman" w:eastAsia="Times New Roman" w:hAnsi="Times New Roman" w:cs="Times New Roman"/>
          <w:sz w:val="24"/>
          <w:szCs w:val="24"/>
        </w:rPr>
        <w:t>. P</w:t>
      </w:r>
      <w:r>
        <w:rPr>
          <w:rFonts w:ascii="Times New Roman" w:eastAsia="Times New Roman" w:hAnsi="Times New Roman" w:cs="Times New Roman"/>
          <w:sz w:val="24"/>
          <w:szCs w:val="24"/>
        </w:rPr>
        <w:t>or lo tanto, es el Estado</w:t>
      </w:r>
      <w:r w:rsidR="0002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través de la institucionalidad y las autoridades judiciales y administrativas</w:t>
      </w:r>
      <w:r w:rsidR="0002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que debe proteger el derecho a la libertad, integridad y formación sexual de los niños, niñas y adolescentes, </w:t>
      </w:r>
      <w:r w:rsidR="00020E55">
        <w:rPr>
          <w:rFonts w:ascii="Times New Roman" w:eastAsia="Times New Roman" w:hAnsi="Times New Roman" w:cs="Times New Roman"/>
          <w:sz w:val="24"/>
          <w:szCs w:val="24"/>
        </w:rPr>
        <w:t>motivo por el cual</w:t>
      </w:r>
      <w:r>
        <w:rPr>
          <w:rFonts w:ascii="Times New Roman" w:eastAsia="Times New Roman" w:hAnsi="Times New Roman" w:cs="Times New Roman"/>
          <w:sz w:val="24"/>
          <w:szCs w:val="24"/>
        </w:rPr>
        <w:t xml:space="preserve"> dentro de la presente investigación</w:t>
      </w:r>
      <w:r w:rsidR="00020E55">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analizar</w:t>
      </w:r>
      <w:r w:rsidR="00020E55">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 y revisar</w:t>
      </w:r>
      <w:r w:rsidR="00020E55">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 si esta protección legal se materializa de manera eficaz, a través de los delitos consagrados en los artículos 2</w:t>
      </w:r>
      <w:r w:rsidR="00B707E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8, 209 y 211 del Código Penal, y </w:t>
      </w:r>
      <w:r w:rsidR="00014C5D">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la presunción </w:t>
      </w:r>
      <w:r w:rsidR="008B428B">
        <w:rPr>
          <w:rFonts w:ascii="Times New Roman" w:eastAsia="Times New Roman" w:hAnsi="Times New Roman" w:cs="Times New Roman"/>
          <w:sz w:val="24"/>
          <w:szCs w:val="24"/>
        </w:rPr>
        <w:t>de</w:t>
      </w:r>
      <w:r w:rsidR="00896C3E">
        <w:rPr>
          <w:rFonts w:ascii="Times New Roman" w:eastAsia="Times New Roman" w:hAnsi="Times New Roman" w:cs="Times New Roman"/>
          <w:sz w:val="24"/>
          <w:szCs w:val="24"/>
        </w:rPr>
        <w:t xml:space="preserve"> derecho </w:t>
      </w:r>
      <w:r>
        <w:rPr>
          <w:rFonts w:ascii="Times New Roman" w:eastAsia="Times New Roman" w:hAnsi="Times New Roman" w:cs="Times New Roman"/>
          <w:i/>
          <w:sz w:val="24"/>
          <w:szCs w:val="24"/>
        </w:rPr>
        <w:t>iuris</w:t>
      </w:r>
      <w:r w:rsidR="00B707E4">
        <w:rPr>
          <w:rFonts w:ascii="Times New Roman" w:eastAsia="Times New Roman" w:hAnsi="Times New Roman" w:cs="Times New Roman"/>
          <w:i/>
          <w:sz w:val="24"/>
          <w:szCs w:val="24"/>
        </w:rPr>
        <w:t xml:space="preserve"> e</w:t>
      </w:r>
      <w:r>
        <w:rPr>
          <w:rFonts w:ascii="Times New Roman" w:eastAsia="Times New Roman" w:hAnsi="Times New Roman" w:cs="Times New Roman"/>
          <w:i/>
          <w:sz w:val="24"/>
          <w:szCs w:val="24"/>
        </w:rPr>
        <w:t xml:space="preserve">t de </w:t>
      </w:r>
      <w:r w:rsidR="00B707E4">
        <w:rPr>
          <w:rFonts w:ascii="Times New Roman" w:eastAsia="Times New Roman" w:hAnsi="Times New Roman" w:cs="Times New Roman"/>
          <w:i/>
          <w:sz w:val="24"/>
          <w:szCs w:val="24"/>
        </w:rPr>
        <w:t>iu</w:t>
      </w:r>
      <w:r>
        <w:rPr>
          <w:rFonts w:ascii="Times New Roman" w:eastAsia="Times New Roman" w:hAnsi="Times New Roman" w:cs="Times New Roman"/>
          <w:i/>
          <w:sz w:val="24"/>
          <w:szCs w:val="24"/>
        </w:rPr>
        <w:t>re</w:t>
      </w:r>
      <w:r>
        <w:rPr>
          <w:rFonts w:ascii="Times New Roman" w:eastAsia="Times New Roman" w:hAnsi="Times New Roman" w:cs="Times New Roman"/>
          <w:sz w:val="24"/>
          <w:szCs w:val="24"/>
        </w:rPr>
        <w:t xml:space="preserve">,  que caracteriza estos </w:t>
      </w:r>
      <w:r w:rsidR="00A04F97">
        <w:rPr>
          <w:rFonts w:ascii="Times New Roman" w:eastAsia="Times New Roman" w:hAnsi="Times New Roman" w:cs="Times New Roman"/>
          <w:sz w:val="24"/>
          <w:szCs w:val="24"/>
        </w:rPr>
        <w:t>tipos penales</w:t>
      </w:r>
      <w:r w:rsidR="00020E55">
        <w:rPr>
          <w:rFonts w:ascii="Times New Roman" w:eastAsia="Times New Roman" w:hAnsi="Times New Roman" w:cs="Times New Roman"/>
          <w:sz w:val="24"/>
          <w:szCs w:val="24"/>
        </w:rPr>
        <w:t xml:space="preserve"> y que</w:t>
      </w:r>
      <w:r>
        <w:rPr>
          <w:rFonts w:ascii="Times New Roman" w:eastAsia="Times New Roman" w:hAnsi="Times New Roman" w:cs="Times New Roman"/>
          <w:sz w:val="24"/>
          <w:szCs w:val="24"/>
        </w:rPr>
        <w:t xml:space="preserve"> no admite prueba en contrario.</w:t>
      </w:r>
    </w:p>
    <w:p w14:paraId="20781850" w14:textId="62934A4B" w:rsidR="002B283D" w:rsidRDefault="006B2674" w:rsidP="00B939F3">
      <w:pPr>
        <w:spacing w:before="240" w:after="240" w:line="480" w:lineRule="auto"/>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Es importante tener en cuenta el objetivo de la norm</w:t>
      </w:r>
      <w:r w:rsidR="00B707E4">
        <w:rPr>
          <w:rFonts w:ascii="Times New Roman" w:eastAsia="Times New Roman" w:hAnsi="Times New Roman" w:cs="Times New Roman"/>
          <w:sz w:val="24"/>
          <w:szCs w:val="24"/>
        </w:rPr>
        <w:t>ativ</w:t>
      </w:r>
      <w:r>
        <w:rPr>
          <w:rFonts w:ascii="Times New Roman" w:eastAsia="Times New Roman" w:hAnsi="Times New Roman" w:cs="Times New Roman"/>
          <w:sz w:val="24"/>
          <w:szCs w:val="24"/>
        </w:rPr>
        <w:t xml:space="preserve">a </w:t>
      </w:r>
      <w:r w:rsidR="00B707E4">
        <w:rPr>
          <w:rFonts w:ascii="Times New Roman" w:eastAsia="Times New Roman" w:hAnsi="Times New Roman" w:cs="Times New Roman"/>
          <w:sz w:val="24"/>
          <w:szCs w:val="24"/>
        </w:rPr>
        <w:t xml:space="preserve">penal </w:t>
      </w:r>
      <w:r>
        <w:rPr>
          <w:rFonts w:ascii="Times New Roman" w:eastAsia="Times New Roman" w:hAnsi="Times New Roman" w:cs="Times New Roman"/>
          <w:sz w:val="24"/>
          <w:szCs w:val="24"/>
        </w:rPr>
        <w:t xml:space="preserve">en cita, </w:t>
      </w:r>
      <w:r w:rsidR="00020E55">
        <w:rPr>
          <w:rFonts w:ascii="Times New Roman" w:eastAsia="Times New Roman" w:hAnsi="Times New Roman" w:cs="Times New Roman"/>
          <w:sz w:val="24"/>
          <w:szCs w:val="24"/>
        </w:rPr>
        <w:t>dada</w:t>
      </w:r>
      <w:r>
        <w:rPr>
          <w:rFonts w:ascii="Times New Roman" w:eastAsia="Times New Roman" w:hAnsi="Times New Roman" w:cs="Times New Roman"/>
          <w:sz w:val="24"/>
          <w:szCs w:val="24"/>
        </w:rPr>
        <w:t xml:space="preserve"> la protección al bien jurídico tutelado </w:t>
      </w:r>
      <w:r w:rsidR="00020E55">
        <w:rPr>
          <w:rFonts w:ascii="Times New Roman" w:eastAsia="Times New Roman" w:hAnsi="Times New Roman" w:cs="Times New Roman"/>
          <w:sz w:val="24"/>
          <w:szCs w:val="24"/>
        </w:rPr>
        <w:t>ya mencionado</w:t>
      </w:r>
      <w:r>
        <w:rPr>
          <w:rFonts w:ascii="Times New Roman" w:eastAsia="Times New Roman" w:hAnsi="Times New Roman" w:cs="Times New Roman"/>
          <w:sz w:val="24"/>
          <w:szCs w:val="24"/>
        </w:rPr>
        <w:t xml:space="preserve">, </w:t>
      </w:r>
      <w:r w:rsidR="00E96F2C">
        <w:rPr>
          <w:rFonts w:ascii="Times New Roman" w:eastAsia="Times New Roman" w:hAnsi="Times New Roman" w:cs="Times New Roman"/>
          <w:sz w:val="24"/>
          <w:szCs w:val="24"/>
        </w:rPr>
        <w:t>en la que no se tiene</w:t>
      </w:r>
      <w:r>
        <w:rPr>
          <w:rFonts w:ascii="Times New Roman" w:eastAsia="Times New Roman" w:hAnsi="Times New Roman" w:cs="Times New Roman"/>
          <w:sz w:val="24"/>
          <w:szCs w:val="24"/>
        </w:rPr>
        <w:t xml:space="preserve"> en cuenta la decisión del o</w:t>
      </w:r>
      <w:r w:rsidR="00E96F2C">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la adolescente entre 12 y 14 años de permitir actos sexuales o autorizar y/o consentir relaciones sexuales. En el contexto de un Estado </w:t>
      </w:r>
      <w:r w:rsidR="00B275C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de </w:t>
      </w:r>
      <w:r w:rsidR="00B275C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esto puede ser en teoría una contradicción. Solo las acciones que constituyen una intromisión violenta o no consentida en los derechos de un tercero son punibles por el derecho penal, por lo que castigar acciones que se apoyan en el permiso de la presunta víctima es absurdo. </w:t>
      </w:r>
      <w:r w:rsidR="00E96F2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 esta razón es menester </w:t>
      </w:r>
      <w:r w:rsidR="00624529">
        <w:rPr>
          <w:rFonts w:ascii="Times New Roman" w:eastAsia="Times New Roman" w:hAnsi="Times New Roman" w:cs="Times New Roman"/>
          <w:sz w:val="24"/>
          <w:szCs w:val="24"/>
        </w:rPr>
        <w:lastRenderedPageBreak/>
        <w:t xml:space="preserve">demostrar que </w:t>
      </w:r>
      <w:r>
        <w:rPr>
          <w:rFonts w:ascii="Times New Roman" w:eastAsia="Times New Roman" w:hAnsi="Times New Roman" w:cs="Times New Roman"/>
          <w:sz w:val="24"/>
          <w:szCs w:val="24"/>
        </w:rPr>
        <w:t xml:space="preserve">una modificación </w:t>
      </w:r>
      <w:r w:rsidR="00E96F2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la</w:t>
      </w:r>
      <w:r w:rsidR="00E96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norma</w:t>
      </w:r>
      <w:r w:rsidR="00E96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jurídica</w:t>
      </w:r>
      <w:r w:rsidR="00E96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 consagra</w:t>
      </w:r>
      <w:r w:rsidR="00E96F2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estos delitos</w:t>
      </w:r>
      <w:r w:rsidR="00624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consistente en cambiar</w:t>
      </w:r>
      <w:r w:rsidR="00624529">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 xml:space="preserve">la presunción </w:t>
      </w:r>
      <w:r w:rsidR="006D21FC">
        <w:rPr>
          <w:rFonts w:ascii="Times New Roman" w:eastAsia="Times New Roman" w:hAnsi="Times New Roman" w:cs="Times New Roman"/>
          <w:sz w:val="24"/>
          <w:szCs w:val="24"/>
        </w:rPr>
        <w:t>de</w:t>
      </w:r>
      <w:r w:rsidR="005B2655">
        <w:rPr>
          <w:rFonts w:ascii="Times New Roman" w:eastAsia="Times New Roman" w:hAnsi="Times New Roman" w:cs="Times New Roman"/>
          <w:sz w:val="24"/>
          <w:szCs w:val="24"/>
        </w:rPr>
        <w:t xml:space="preserve"> derecho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iuris </w:t>
      </w:r>
      <w:r w:rsidR="00F94244">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t de </w:t>
      </w:r>
      <w:r w:rsidR="00F94244">
        <w:rPr>
          <w:rFonts w:ascii="Times New Roman" w:eastAsia="Times New Roman" w:hAnsi="Times New Roman" w:cs="Times New Roman"/>
          <w:i/>
          <w:sz w:val="24"/>
          <w:szCs w:val="24"/>
        </w:rPr>
        <w:t>iu</w:t>
      </w:r>
      <w:r>
        <w:rPr>
          <w:rFonts w:ascii="Times New Roman" w:eastAsia="Times New Roman" w:hAnsi="Times New Roman" w:cs="Times New Roman"/>
          <w:i/>
          <w:sz w:val="24"/>
          <w:szCs w:val="24"/>
        </w:rPr>
        <w:t>re</w:t>
      </w:r>
      <w:r>
        <w:rPr>
          <w:rFonts w:ascii="Times New Roman" w:eastAsia="Times New Roman" w:hAnsi="Times New Roman" w:cs="Times New Roman"/>
          <w:sz w:val="24"/>
          <w:szCs w:val="24"/>
        </w:rPr>
        <w:t xml:space="preserve">, a la presunción </w:t>
      </w:r>
      <w:r w:rsidR="009243E6">
        <w:rPr>
          <w:rFonts w:ascii="Times New Roman" w:eastAsia="Times New Roman" w:hAnsi="Times New Roman" w:cs="Times New Roman"/>
          <w:sz w:val="24"/>
          <w:szCs w:val="24"/>
        </w:rPr>
        <w:t>legal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iuris tantum</w:t>
      </w:r>
      <w:r>
        <w:rPr>
          <w:rFonts w:ascii="Times New Roman" w:eastAsia="Times New Roman" w:hAnsi="Times New Roman" w:cs="Times New Roman"/>
          <w:sz w:val="24"/>
          <w:szCs w:val="24"/>
        </w:rPr>
        <w:t xml:space="preserve"> que permita que se evalúe a nivel probatorio y a través de las reglas de la sana crítica el consentimiento sexual de menores entre 12 y 14 años, permitiría evaluar la autonomía y el ejercicio de los derechos a </w:t>
      </w:r>
      <w:r w:rsidR="00E96F2C">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libertad, integridad y formación sexuales de los o menores entre 12 y 14 años</w:t>
      </w:r>
      <w:r w:rsidR="00E96F2C">
        <w:rPr>
          <w:rFonts w:ascii="Times New Roman" w:eastAsia="Times New Roman" w:hAnsi="Times New Roman" w:cs="Times New Roman"/>
          <w:sz w:val="24"/>
          <w:szCs w:val="24"/>
        </w:rPr>
        <w:t xml:space="preserve"> de edad</w:t>
      </w:r>
      <w:r>
        <w:rPr>
          <w:rFonts w:ascii="Times New Roman" w:eastAsia="Times New Roman" w:hAnsi="Times New Roman" w:cs="Times New Roman"/>
          <w:sz w:val="24"/>
          <w:szCs w:val="24"/>
        </w:rPr>
        <w:t xml:space="preserve"> involucrados </w:t>
      </w:r>
      <w:r w:rsidR="00E96F2C">
        <w:rPr>
          <w:rFonts w:ascii="Times New Roman" w:eastAsia="Times New Roman" w:hAnsi="Times New Roman" w:cs="Times New Roman"/>
          <w:sz w:val="24"/>
          <w:szCs w:val="24"/>
        </w:rPr>
        <w:t xml:space="preserve">como víctimas </w:t>
      </w:r>
      <w:r>
        <w:rPr>
          <w:rFonts w:ascii="Times New Roman" w:eastAsia="Times New Roman" w:hAnsi="Times New Roman" w:cs="Times New Roman"/>
          <w:sz w:val="24"/>
          <w:szCs w:val="24"/>
        </w:rPr>
        <w:t>en el delito, así como</w:t>
      </w:r>
      <w:r w:rsidR="00E96F2C">
        <w:rPr>
          <w:rFonts w:ascii="Times New Roman" w:eastAsia="Times New Roman" w:hAnsi="Times New Roman" w:cs="Times New Roman"/>
          <w:sz w:val="24"/>
          <w:szCs w:val="24"/>
        </w:rPr>
        <w:t xml:space="preserve"> establecer</w:t>
      </w:r>
      <w:r>
        <w:rPr>
          <w:rFonts w:ascii="Times New Roman" w:eastAsia="Times New Roman" w:hAnsi="Times New Roman" w:cs="Times New Roman"/>
          <w:sz w:val="24"/>
          <w:szCs w:val="24"/>
        </w:rPr>
        <w:t xml:space="preserve"> la intención de sujeto</w:t>
      </w:r>
      <w:r w:rsidR="00E96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activo</w:t>
      </w:r>
      <w:r w:rsidR="00E96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como las parejas sentimentales o compañeros sexuales</w:t>
      </w:r>
      <w:r w:rsidR="00595F71">
        <w:rPr>
          <w:rFonts w:ascii="Times New Roman" w:eastAsia="Times New Roman" w:hAnsi="Times New Roman" w:cs="Times New Roman"/>
          <w:sz w:val="24"/>
          <w:szCs w:val="24"/>
        </w:rPr>
        <w:t xml:space="preserve">, con quienes </w:t>
      </w:r>
      <w:r w:rsidR="00E96F2C">
        <w:rPr>
          <w:rFonts w:ascii="Times New Roman" w:eastAsia="Times New Roman" w:hAnsi="Times New Roman" w:cs="Times New Roman"/>
          <w:sz w:val="24"/>
          <w:szCs w:val="24"/>
        </w:rPr>
        <w:t xml:space="preserve">se tienen, en </w:t>
      </w:r>
      <w:r w:rsidR="00595F71">
        <w:rPr>
          <w:rFonts w:ascii="Times New Roman" w:eastAsia="Times New Roman" w:hAnsi="Times New Roman" w:cs="Times New Roman"/>
          <w:sz w:val="24"/>
          <w:szCs w:val="24"/>
        </w:rPr>
        <w:t>much</w:t>
      </w:r>
      <w:r w:rsidR="00E96F2C">
        <w:rPr>
          <w:rFonts w:ascii="Times New Roman" w:eastAsia="Times New Roman" w:hAnsi="Times New Roman" w:cs="Times New Roman"/>
          <w:sz w:val="24"/>
          <w:szCs w:val="24"/>
        </w:rPr>
        <w:t xml:space="preserve">os casos, </w:t>
      </w:r>
      <w:r w:rsidR="00595F71">
        <w:rPr>
          <w:rFonts w:ascii="Times New Roman" w:eastAsia="Times New Roman" w:hAnsi="Times New Roman" w:cs="Times New Roman"/>
          <w:sz w:val="24"/>
          <w:szCs w:val="24"/>
        </w:rPr>
        <w:t>convivencia, hijos y proyecto de vida.</w:t>
      </w:r>
    </w:p>
    <w:p w14:paraId="03DEB4D8" w14:textId="25B23613" w:rsidR="0063426E" w:rsidRDefault="006B2674"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Palabras clave</w:t>
      </w:r>
      <w:r>
        <w:rPr>
          <w:rFonts w:ascii="Times New Roman" w:eastAsia="Times New Roman" w:hAnsi="Times New Roman" w:cs="Times New Roman"/>
          <w:sz w:val="24"/>
          <w:szCs w:val="24"/>
        </w:rPr>
        <w:t xml:space="preserve">: consentimiento sexual, adolescentes, abuso sexual, delito, presunción </w:t>
      </w:r>
      <w:r w:rsidR="006D21FC">
        <w:rPr>
          <w:rFonts w:ascii="Times New Roman" w:eastAsia="Times New Roman" w:hAnsi="Times New Roman" w:cs="Times New Roman"/>
          <w:sz w:val="24"/>
          <w:szCs w:val="24"/>
        </w:rPr>
        <w:t>de</w:t>
      </w:r>
      <w:r w:rsidR="005B2655">
        <w:rPr>
          <w:rFonts w:ascii="Times New Roman" w:eastAsia="Times New Roman" w:hAnsi="Times New Roman" w:cs="Times New Roman"/>
          <w:sz w:val="24"/>
          <w:szCs w:val="24"/>
        </w:rPr>
        <w:t xml:space="preserve"> derecho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iuris </w:t>
      </w:r>
      <w:r w:rsidR="00F9256A">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t de </w:t>
      </w:r>
      <w:r w:rsidR="00F9256A">
        <w:rPr>
          <w:rFonts w:ascii="Times New Roman" w:eastAsia="Times New Roman" w:hAnsi="Times New Roman" w:cs="Times New Roman"/>
          <w:i/>
          <w:sz w:val="24"/>
          <w:szCs w:val="24"/>
        </w:rPr>
        <w:t>iu</w:t>
      </w:r>
      <w:r>
        <w:rPr>
          <w:rFonts w:ascii="Times New Roman" w:eastAsia="Times New Roman" w:hAnsi="Times New Roman" w:cs="Times New Roman"/>
          <w:i/>
          <w:sz w:val="24"/>
          <w:szCs w:val="24"/>
        </w:rPr>
        <w:t>re</w:t>
      </w:r>
      <w:r>
        <w:rPr>
          <w:rFonts w:ascii="Times New Roman" w:eastAsia="Times New Roman" w:hAnsi="Times New Roman" w:cs="Times New Roman"/>
          <w:sz w:val="24"/>
          <w:szCs w:val="24"/>
        </w:rPr>
        <w:t xml:space="preserve"> </w:t>
      </w:r>
      <w:r w:rsidR="00A04F97">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presunción </w:t>
      </w:r>
      <w:r w:rsidR="005B2655">
        <w:rPr>
          <w:rFonts w:ascii="Times New Roman" w:eastAsia="Times New Roman" w:hAnsi="Times New Roman" w:cs="Times New Roman"/>
          <w:sz w:val="24"/>
          <w:szCs w:val="24"/>
        </w:rPr>
        <w:t>legal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iuris tantum.</w:t>
      </w:r>
    </w:p>
    <w:p w14:paraId="3E8AB251" w14:textId="77777777" w:rsidR="00A94B67" w:rsidRDefault="00A94B67" w:rsidP="00B939F3">
      <w:pPr>
        <w:spacing w:before="240" w:after="240" w:line="480" w:lineRule="auto"/>
        <w:rPr>
          <w:rFonts w:ascii="Times New Roman" w:eastAsia="Times New Roman" w:hAnsi="Times New Roman" w:cs="Times New Roman"/>
          <w:sz w:val="24"/>
          <w:szCs w:val="24"/>
        </w:rPr>
      </w:pPr>
    </w:p>
    <w:p w14:paraId="36CA232B" w14:textId="47960466" w:rsidR="002B283D" w:rsidRPr="00B939F3" w:rsidRDefault="006B2674" w:rsidP="00B939F3">
      <w:pPr>
        <w:pStyle w:val="Ttulo1"/>
        <w:spacing w:line="480" w:lineRule="auto"/>
        <w:rPr>
          <w:rFonts w:ascii="Times New Roman" w:eastAsia="Times New Roman" w:hAnsi="Times New Roman" w:cs="Times New Roman"/>
          <w:b/>
          <w:bCs/>
          <w:color w:val="auto"/>
          <w:sz w:val="24"/>
          <w:szCs w:val="24"/>
          <w:lang w:val="en-US"/>
        </w:rPr>
      </w:pPr>
      <w:bookmarkStart w:id="3" w:name="_Toc134376629"/>
      <w:r w:rsidRPr="003E2FF5">
        <w:rPr>
          <w:rFonts w:ascii="Times New Roman" w:eastAsia="Times New Roman" w:hAnsi="Times New Roman" w:cs="Times New Roman"/>
          <w:b/>
          <w:bCs/>
          <w:color w:val="auto"/>
          <w:sz w:val="24"/>
          <w:szCs w:val="24"/>
          <w:lang w:val="en-US"/>
        </w:rPr>
        <w:t>ABSTRACT</w:t>
      </w:r>
      <w:bookmarkEnd w:id="3"/>
    </w:p>
    <w:p w14:paraId="45BE3052" w14:textId="5C5EC3D7" w:rsidR="00172FD2" w:rsidRPr="00172FD2" w:rsidRDefault="00172FD2" w:rsidP="00B939F3">
      <w:pPr>
        <w:spacing w:before="240" w:after="240" w:line="480" w:lineRule="auto"/>
        <w:rPr>
          <w:rFonts w:ascii="Times New Roman" w:eastAsia="Times New Roman" w:hAnsi="Times New Roman" w:cs="Times New Roman"/>
          <w:sz w:val="24"/>
          <w:szCs w:val="24"/>
          <w:lang w:val="en-US"/>
        </w:rPr>
      </w:pPr>
      <w:r w:rsidRPr="00172FD2">
        <w:rPr>
          <w:rFonts w:ascii="Times New Roman" w:eastAsia="Times New Roman" w:hAnsi="Times New Roman" w:cs="Times New Roman"/>
          <w:sz w:val="24"/>
          <w:szCs w:val="24"/>
          <w:lang w:val="en-US"/>
        </w:rPr>
        <w:t xml:space="preserve">In Colombia, according to the legal system, it is considered that minors between 12 and 14 years of age lack the capacity for sexual self-determination, for which reason there are legal precepts that promote protection against sexual crimes and any practice of this nature that may harm their biopsychosocial development, since what is sought is that these practices are carried out with sufficient responsibility, with consent and without affecting their fundamental rights. Therefore, it is the State, through the institutionality and the judicial and administrative authorities, which must protect the right to freedom, integrity and sexual formation of children and adolescents, which is why within the present The investigation will analyze and review whether this legal protection materializes effectively, through the crimes enshrined in articles </w:t>
      </w:r>
      <w:r w:rsidRPr="00172FD2">
        <w:rPr>
          <w:rFonts w:ascii="Times New Roman" w:eastAsia="Times New Roman" w:hAnsi="Times New Roman" w:cs="Times New Roman"/>
          <w:sz w:val="24"/>
          <w:szCs w:val="24"/>
          <w:lang w:val="en-US"/>
        </w:rPr>
        <w:lastRenderedPageBreak/>
        <w:t>208, 209 and 211 of the Penal Code, and the presumption of</w:t>
      </w:r>
      <w:r>
        <w:rPr>
          <w:rFonts w:ascii="Times New Roman" w:eastAsia="Times New Roman" w:hAnsi="Times New Roman" w:cs="Times New Roman"/>
          <w:sz w:val="24"/>
          <w:szCs w:val="24"/>
          <w:lang w:val="en-US"/>
        </w:rPr>
        <w:t xml:space="preserve"> law</w:t>
      </w:r>
      <w:r w:rsidRPr="00172FD2">
        <w:rPr>
          <w:rFonts w:ascii="Times New Roman" w:eastAsia="Times New Roman" w:hAnsi="Times New Roman" w:cs="Times New Roman"/>
          <w:sz w:val="24"/>
          <w:szCs w:val="24"/>
          <w:lang w:val="en-US"/>
        </w:rPr>
        <w:t xml:space="preserve"> </w:t>
      </w:r>
      <w:r w:rsidRPr="00172FD2">
        <w:rPr>
          <w:rFonts w:ascii="Times New Roman" w:eastAsia="Times New Roman" w:hAnsi="Times New Roman" w:cs="Times New Roman"/>
          <w:i/>
          <w:iCs/>
          <w:sz w:val="24"/>
          <w:szCs w:val="24"/>
          <w:lang w:val="en-US"/>
        </w:rPr>
        <w:t>iuris et de iure</w:t>
      </w:r>
      <w:r w:rsidRPr="00172FD2">
        <w:rPr>
          <w:rFonts w:ascii="Times New Roman" w:eastAsia="Times New Roman" w:hAnsi="Times New Roman" w:cs="Times New Roman"/>
          <w:sz w:val="24"/>
          <w:szCs w:val="24"/>
          <w:lang w:val="en-US"/>
        </w:rPr>
        <w:t>, which characterizes these criminal types and not admit evidence to the contrary.</w:t>
      </w:r>
    </w:p>
    <w:p w14:paraId="2C508EE9" w14:textId="669AB2C2" w:rsidR="00172FD2" w:rsidRPr="00172FD2" w:rsidRDefault="00172FD2" w:rsidP="00B939F3">
      <w:pPr>
        <w:spacing w:before="240" w:after="240" w:line="480" w:lineRule="auto"/>
        <w:rPr>
          <w:rFonts w:ascii="Times New Roman" w:eastAsia="Times New Roman" w:hAnsi="Times New Roman" w:cs="Times New Roman"/>
          <w:sz w:val="24"/>
          <w:szCs w:val="24"/>
          <w:lang w:val="en-US"/>
        </w:rPr>
      </w:pPr>
      <w:r w:rsidRPr="00172FD2">
        <w:rPr>
          <w:rFonts w:ascii="Times New Roman" w:eastAsia="Times New Roman" w:hAnsi="Times New Roman" w:cs="Times New Roman"/>
          <w:sz w:val="24"/>
          <w:szCs w:val="24"/>
          <w:lang w:val="en-US"/>
        </w:rPr>
        <w:t xml:space="preserve">It is important to </w:t>
      </w:r>
      <w:r w:rsidR="00321BB5" w:rsidRPr="00172FD2">
        <w:rPr>
          <w:rFonts w:ascii="Times New Roman" w:eastAsia="Times New Roman" w:hAnsi="Times New Roman" w:cs="Times New Roman"/>
          <w:sz w:val="24"/>
          <w:szCs w:val="24"/>
          <w:lang w:val="en-US"/>
        </w:rPr>
        <w:t>consider</w:t>
      </w:r>
      <w:r w:rsidRPr="00172FD2">
        <w:rPr>
          <w:rFonts w:ascii="Times New Roman" w:eastAsia="Times New Roman" w:hAnsi="Times New Roman" w:cs="Times New Roman"/>
          <w:sz w:val="24"/>
          <w:szCs w:val="24"/>
          <w:lang w:val="en-US"/>
        </w:rPr>
        <w:t xml:space="preserve"> the objective of the criminal regulations in question, given the protection of the aforementioned protected legal right, which does not take into account the decision of the adolescent between 12 and 14 years of age to allow sexual acts or authorize and/or consent to sexual intercourse. In the context of a Social State of Law, this can be in theory a contradiction. Only actions that constitute a violent or non-consensual interference in the rights of a third party are punishable by criminal law, so punishing actions that rely on the permission of the alleged victim is absurd. For this reason, it is necessary to demonstrate that a modification to the legal norms that consecrate these crimes, consisting of changing from the presumption of</w:t>
      </w:r>
      <w:r>
        <w:rPr>
          <w:rFonts w:ascii="Times New Roman" w:eastAsia="Times New Roman" w:hAnsi="Times New Roman" w:cs="Times New Roman"/>
          <w:sz w:val="24"/>
          <w:szCs w:val="24"/>
          <w:lang w:val="en-US"/>
        </w:rPr>
        <w:t xml:space="preserve"> law</w:t>
      </w:r>
      <w:r w:rsidRPr="00172FD2">
        <w:rPr>
          <w:rFonts w:ascii="Times New Roman" w:eastAsia="Times New Roman" w:hAnsi="Times New Roman" w:cs="Times New Roman"/>
          <w:sz w:val="24"/>
          <w:szCs w:val="24"/>
          <w:lang w:val="en-US"/>
        </w:rPr>
        <w:t xml:space="preserve"> </w:t>
      </w:r>
      <w:r w:rsidRPr="00172FD2">
        <w:rPr>
          <w:rFonts w:ascii="Times New Roman" w:eastAsia="Times New Roman" w:hAnsi="Times New Roman" w:cs="Times New Roman"/>
          <w:i/>
          <w:iCs/>
          <w:sz w:val="24"/>
          <w:szCs w:val="24"/>
          <w:lang w:val="en-US"/>
        </w:rPr>
        <w:t>iuris et de iure</w:t>
      </w:r>
      <w:r w:rsidRPr="00172FD2">
        <w:rPr>
          <w:rFonts w:ascii="Times New Roman" w:eastAsia="Times New Roman" w:hAnsi="Times New Roman" w:cs="Times New Roman"/>
          <w:sz w:val="24"/>
          <w:szCs w:val="24"/>
          <w:lang w:val="en-US"/>
        </w:rPr>
        <w:t xml:space="preserve">, to the </w:t>
      </w:r>
      <w:r w:rsidRPr="00172FD2">
        <w:rPr>
          <w:rFonts w:ascii="Times New Roman" w:eastAsia="Times New Roman" w:hAnsi="Times New Roman" w:cs="Times New Roman"/>
          <w:i/>
          <w:iCs/>
          <w:sz w:val="24"/>
          <w:szCs w:val="24"/>
          <w:lang w:val="en-US"/>
        </w:rPr>
        <w:t>iuris tantum</w:t>
      </w:r>
      <w:r w:rsidRPr="00172FD2">
        <w:rPr>
          <w:rFonts w:ascii="Times New Roman" w:eastAsia="Times New Roman" w:hAnsi="Times New Roman" w:cs="Times New Roman"/>
          <w:sz w:val="24"/>
          <w:szCs w:val="24"/>
          <w:lang w:val="en-US"/>
        </w:rPr>
        <w:t xml:space="preserve"> legal presumption that allows it to be evaluated at the evidentiary level and through the rules of healthy criticism, the sexual consent of minors between 12 and 14 years of age, would allow evaluating the autonomy and exercise of the rights to freedom, integrity and sexual formation of minors between 12 and 14 years of age involved as victims in the crime , as well as establishing the intention of active subjects such as sentimental partners or sexual partners, with whom they have, in many cases, cohabitation, children and a life project.</w:t>
      </w:r>
    </w:p>
    <w:p w14:paraId="2987414F" w14:textId="77777777" w:rsidR="00172FD2" w:rsidRPr="00172FD2" w:rsidRDefault="00172FD2" w:rsidP="00B939F3">
      <w:pPr>
        <w:spacing w:before="240" w:after="240" w:line="480" w:lineRule="auto"/>
        <w:rPr>
          <w:rFonts w:ascii="Times New Roman" w:eastAsia="Times New Roman" w:hAnsi="Times New Roman" w:cs="Times New Roman"/>
          <w:sz w:val="24"/>
          <w:szCs w:val="24"/>
          <w:lang w:val="en-US"/>
        </w:rPr>
      </w:pPr>
    </w:p>
    <w:p w14:paraId="6A5CC797" w14:textId="53CC5CFC" w:rsidR="00A94B67" w:rsidRPr="003C53AE" w:rsidRDefault="00172FD2" w:rsidP="00B939F3">
      <w:pPr>
        <w:spacing w:before="240" w:after="240" w:line="480" w:lineRule="auto"/>
        <w:rPr>
          <w:rFonts w:ascii="Times New Roman" w:eastAsia="Times New Roman" w:hAnsi="Times New Roman" w:cs="Times New Roman"/>
          <w:i/>
          <w:iCs/>
          <w:sz w:val="24"/>
          <w:szCs w:val="24"/>
          <w:lang w:val="en-US"/>
        </w:rPr>
      </w:pPr>
      <w:r w:rsidRPr="00172FD2">
        <w:rPr>
          <w:rFonts w:ascii="Times New Roman" w:eastAsia="Times New Roman" w:hAnsi="Times New Roman" w:cs="Times New Roman"/>
          <w:i/>
          <w:iCs/>
          <w:sz w:val="24"/>
          <w:szCs w:val="24"/>
          <w:lang w:val="en-US"/>
        </w:rPr>
        <w:t>Keywords</w:t>
      </w:r>
      <w:r w:rsidRPr="00172FD2">
        <w:rPr>
          <w:rFonts w:ascii="Times New Roman" w:eastAsia="Times New Roman" w:hAnsi="Times New Roman" w:cs="Times New Roman"/>
          <w:sz w:val="24"/>
          <w:szCs w:val="24"/>
          <w:lang w:val="en-US"/>
        </w:rPr>
        <w:t>: sexual consent, adolescents, sexual abuse, crime, presumption of</w:t>
      </w:r>
      <w:r>
        <w:rPr>
          <w:rFonts w:ascii="Times New Roman" w:eastAsia="Times New Roman" w:hAnsi="Times New Roman" w:cs="Times New Roman"/>
          <w:sz w:val="24"/>
          <w:szCs w:val="24"/>
          <w:lang w:val="en-US"/>
        </w:rPr>
        <w:t xml:space="preserve"> law</w:t>
      </w:r>
      <w:r w:rsidRPr="00172FD2">
        <w:rPr>
          <w:rFonts w:ascii="Times New Roman" w:eastAsia="Times New Roman" w:hAnsi="Times New Roman" w:cs="Times New Roman"/>
          <w:sz w:val="24"/>
          <w:szCs w:val="24"/>
          <w:lang w:val="en-US"/>
        </w:rPr>
        <w:t xml:space="preserve"> </w:t>
      </w:r>
      <w:r w:rsidRPr="00172FD2">
        <w:rPr>
          <w:rFonts w:ascii="Times New Roman" w:eastAsia="Times New Roman" w:hAnsi="Times New Roman" w:cs="Times New Roman"/>
          <w:i/>
          <w:iCs/>
          <w:sz w:val="24"/>
          <w:szCs w:val="24"/>
          <w:lang w:val="en-US"/>
        </w:rPr>
        <w:t>iuris et de iure</w:t>
      </w:r>
      <w:r w:rsidRPr="00172FD2">
        <w:rPr>
          <w:rFonts w:ascii="Times New Roman" w:eastAsia="Times New Roman" w:hAnsi="Times New Roman" w:cs="Times New Roman"/>
          <w:sz w:val="24"/>
          <w:szCs w:val="24"/>
          <w:lang w:val="en-US"/>
        </w:rPr>
        <w:t xml:space="preserve"> and </w:t>
      </w:r>
      <w:r w:rsidRPr="00172FD2">
        <w:rPr>
          <w:rFonts w:ascii="Times New Roman" w:eastAsia="Times New Roman" w:hAnsi="Times New Roman" w:cs="Times New Roman"/>
          <w:i/>
          <w:iCs/>
          <w:sz w:val="24"/>
          <w:szCs w:val="24"/>
          <w:lang w:val="en-US"/>
        </w:rPr>
        <w:t>iuris tantum</w:t>
      </w:r>
      <w:r w:rsidRPr="00172FD2">
        <w:rPr>
          <w:rFonts w:ascii="Times New Roman" w:eastAsia="Times New Roman" w:hAnsi="Times New Roman" w:cs="Times New Roman"/>
          <w:sz w:val="24"/>
          <w:szCs w:val="24"/>
          <w:lang w:val="en-US"/>
        </w:rPr>
        <w:t xml:space="preserve"> legal presumption.</w:t>
      </w:r>
    </w:p>
    <w:p w14:paraId="63FB2C1F" w14:textId="6929F4E5" w:rsidR="002732B7" w:rsidRDefault="002732B7">
      <w:pPr>
        <w:rPr>
          <w:rFonts w:ascii="Times New Roman" w:eastAsia="Times New Roman" w:hAnsi="Times New Roman" w:cs="Times New Roman"/>
          <w:b/>
          <w:szCs w:val="24"/>
          <w:lang w:val="en-US"/>
        </w:rPr>
      </w:pPr>
      <w:r>
        <w:rPr>
          <w:rFonts w:ascii="Times New Roman" w:eastAsia="Times New Roman" w:hAnsi="Times New Roman" w:cs="Times New Roman"/>
          <w:b/>
          <w:szCs w:val="24"/>
          <w:lang w:val="en-US"/>
        </w:rPr>
        <w:br w:type="page"/>
      </w:r>
    </w:p>
    <w:p w14:paraId="09A4EB5B" w14:textId="77777777" w:rsidR="00595F71" w:rsidRPr="001138EC" w:rsidRDefault="00595F71" w:rsidP="008D19D2">
      <w:pPr>
        <w:spacing w:before="240" w:after="240" w:line="360" w:lineRule="auto"/>
        <w:rPr>
          <w:rFonts w:ascii="Times New Roman" w:eastAsia="Times New Roman" w:hAnsi="Times New Roman" w:cs="Times New Roman"/>
          <w:b/>
          <w:szCs w:val="24"/>
          <w:lang w:val="en-US"/>
        </w:rPr>
      </w:pPr>
    </w:p>
    <w:p w14:paraId="4E0599F6" w14:textId="19409EDD" w:rsidR="00595F71" w:rsidRDefault="006B2674" w:rsidP="008D19D2">
      <w:pPr>
        <w:pStyle w:val="Ttulo1"/>
        <w:spacing w:line="360" w:lineRule="auto"/>
        <w:jc w:val="center"/>
        <w:rPr>
          <w:rFonts w:ascii="Times New Roman" w:eastAsia="Times New Roman" w:hAnsi="Times New Roman" w:cs="Times New Roman"/>
          <w:b/>
          <w:color w:val="auto"/>
          <w:sz w:val="24"/>
        </w:rPr>
      </w:pPr>
      <w:bookmarkStart w:id="4" w:name="_Toc134376630"/>
      <w:r w:rsidRPr="001138EC">
        <w:rPr>
          <w:rFonts w:ascii="Times New Roman" w:eastAsia="Times New Roman" w:hAnsi="Times New Roman" w:cs="Times New Roman"/>
          <w:b/>
          <w:color w:val="auto"/>
          <w:sz w:val="24"/>
        </w:rPr>
        <w:t>INTRODUCCIÓN</w:t>
      </w:r>
      <w:bookmarkEnd w:id="4"/>
    </w:p>
    <w:p w14:paraId="5F1B440C" w14:textId="77777777" w:rsidR="00867A6A" w:rsidRPr="00867A6A" w:rsidRDefault="00867A6A" w:rsidP="008D19D2">
      <w:pPr>
        <w:spacing w:line="360" w:lineRule="auto"/>
        <w:rPr>
          <w:lang w:val="es-MX" w:eastAsia="es-MX"/>
        </w:rPr>
      </w:pPr>
    </w:p>
    <w:p w14:paraId="03DEB4E5" w14:textId="7021BAD4" w:rsidR="0063426E"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delitos sexuales </w:t>
      </w:r>
      <w:r w:rsidR="00E663A8">
        <w:rPr>
          <w:rFonts w:ascii="Times New Roman" w:eastAsia="Times New Roman" w:hAnsi="Times New Roman" w:cs="Times New Roman"/>
          <w:sz w:val="24"/>
          <w:szCs w:val="24"/>
        </w:rPr>
        <w:t xml:space="preserve">constituyen </w:t>
      </w:r>
      <w:r>
        <w:rPr>
          <w:rFonts w:ascii="Times New Roman" w:eastAsia="Times New Roman" w:hAnsi="Times New Roman" w:cs="Times New Roman"/>
          <w:sz w:val="24"/>
          <w:szCs w:val="24"/>
        </w:rPr>
        <w:t xml:space="preserve">uno de los escenarios que más repugnancia o aversión suscita a nivel social, debido a que </w:t>
      </w:r>
      <w:r w:rsidR="00A220F0">
        <w:rPr>
          <w:rFonts w:ascii="Times New Roman" w:eastAsia="Times New Roman" w:hAnsi="Times New Roman" w:cs="Times New Roman"/>
          <w:sz w:val="24"/>
          <w:szCs w:val="24"/>
        </w:rPr>
        <w:t xml:space="preserve">son </w:t>
      </w:r>
      <w:r>
        <w:rPr>
          <w:rFonts w:ascii="Times New Roman" w:eastAsia="Times New Roman" w:hAnsi="Times New Roman" w:cs="Times New Roman"/>
          <w:sz w:val="24"/>
          <w:szCs w:val="24"/>
        </w:rPr>
        <w:t>visto</w:t>
      </w:r>
      <w:r w:rsidR="00A220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como agresión los ámbitos de la existencia humana en que más confluyen los derechos fundamentales: la libertad, el libre desarrollo de la personalidad, la integridad personal, la intimidad, la igualdad, los derechos sexuales y reproductivos y la dignidad humana, entre otros. </w:t>
      </w:r>
    </w:p>
    <w:p w14:paraId="03DEB4E6" w14:textId="1C4DF0B0" w:rsidR="0063426E" w:rsidRDefault="00E663A8"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6B2674">
        <w:rPr>
          <w:rFonts w:ascii="Times New Roman" w:eastAsia="Times New Roman" w:hAnsi="Times New Roman" w:cs="Times New Roman"/>
          <w:sz w:val="24"/>
          <w:szCs w:val="24"/>
        </w:rPr>
        <w:t xml:space="preserve"> cuando los niños </w:t>
      </w:r>
      <w:r>
        <w:rPr>
          <w:rFonts w:ascii="Times New Roman" w:eastAsia="Times New Roman" w:hAnsi="Times New Roman" w:cs="Times New Roman"/>
          <w:sz w:val="24"/>
          <w:szCs w:val="24"/>
        </w:rPr>
        <w:t xml:space="preserve">o los </w:t>
      </w:r>
      <w:r w:rsidR="006B2674">
        <w:rPr>
          <w:rFonts w:ascii="Times New Roman" w:eastAsia="Times New Roman" w:hAnsi="Times New Roman" w:cs="Times New Roman"/>
          <w:sz w:val="24"/>
          <w:szCs w:val="24"/>
        </w:rPr>
        <w:t xml:space="preserve">adolescentes son </w:t>
      </w:r>
      <w:r>
        <w:rPr>
          <w:rFonts w:ascii="Times New Roman" w:eastAsia="Times New Roman" w:hAnsi="Times New Roman" w:cs="Times New Roman"/>
          <w:sz w:val="24"/>
          <w:szCs w:val="24"/>
        </w:rPr>
        <w:t xml:space="preserve">las </w:t>
      </w:r>
      <w:r w:rsidR="006B2674">
        <w:rPr>
          <w:rFonts w:ascii="Times New Roman" w:eastAsia="Times New Roman" w:hAnsi="Times New Roman" w:cs="Times New Roman"/>
          <w:sz w:val="24"/>
          <w:szCs w:val="24"/>
        </w:rPr>
        <w:t>víctimas de este tipo de delitos, estos sentimientos de repugnancia</w:t>
      </w:r>
      <w:r>
        <w:rPr>
          <w:rFonts w:ascii="Times New Roman" w:eastAsia="Times New Roman" w:hAnsi="Times New Roman" w:cs="Times New Roman"/>
          <w:sz w:val="24"/>
          <w:szCs w:val="24"/>
        </w:rPr>
        <w:t xml:space="preserve"> y</w:t>
      </w:r>
      <w:r w:rsidR="006B2674">
        <w:rPr>
          <w:rFonts w:ascii="Times New Roman" w:eastAsia="Times New Roman" w:hAnsi="Times New Roman" w:cs="Times New Roman"/>
          <w:sz w:val="24"/>
          <w:szCs w:val="24"/>
        </w:rPr>
        <w:t xml:space="preserve"> rechazo a nivel social se exacerban o intensifican. De cualquier forma, hay un componente de la delincuencia sexual que se ha pasado por alto debido a la merecida gravedad de los delitos sexuales violentos contra los niños: los delitos sexuales abusivos</w:t>
      </w:r>
      <w:r w:rsidR="009B4EB1">
        <w:rPr>
          <w:rFonts w:ascii="Times New Roman" w:eastAsia="Times New Roman" w:hAnsi="Times New Roman" w:cs="Times New Roman"/>
          <w:sz w:val="24"/>
          <w:szCs w:val="24"/>
        </w:rPr>
        <w:t xml:space="preserve"> en los que no media la violencia</w:t>
      </w:r>
      <w:r w:rsidR="006B2674">
        <w:rPr>
          <w:rFonts w:ascii="Times New Roman" w:eastAsia="Times New Roman" w:hAnsi="Times New Roman" w:cs="Times New Roman"/>
          <w:sz w:val="24"/>
          <w:szCs w:val="24"/>
        </w:rPr>
        <w:t>.</w:t>
      </w:r>
    </w:p>
    <w:p w14:paraId="03DEB4E7" w14:textId="615AFEA6" w:rsidR="0063426E" w:rsidRDefault="00906CBB"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En estos últimos</w:t>
      </w:r>
      <w:r w:rsidR="006B2674">
        <w:rPr>
          <w:rFonts w:ascii="Times New Roman" w:eastAsia="Times New Roman" w:hAnsi="Times New Roman" w:cs="Times New Roman"/>
          <w:sz w:val="24"/>
          <w:szCs w:val="24"/>
        </w:rPr>
        <w:t xml:space="preserve">, cuando un menor ha dado su consentimiento, ¿cómo debe manejar el sistema de justicia penal aquellas situaciones en las que existe una barrera legal (materializada en forma de presunción de </w:t>
      </w:r>
      <w:r>
        <w:rPr>
          <w:rFonts w:ascii="Times New Roman" w:eastAsia="Times New Roman" w:hAnsi="Times New Roman" w:cs="Times New Roman"/>
          <w:sz w:val="24"/>
          <w:szCs w:val="24"/>
        </w:rPr>
        <w:t>derecho</w:t>
      </w:r>
      <w:r w:rsidR="006B2674">
        <w:rPr>
          <w:rFonts w:ascii="Times New Roman" w:eastAsia="Times New Roman" w:hAnsi="Times New Roman" w:cs="Times New Roman"/>
          <w:sz w:val="24"/>
          <w:szCs w:val="24"/>
        </w:rPr>
        <w:t>) que prohíbe las relaciones sexuales por debajo de este umbral? En efecto, la legislación penal colombiana, en el artículo 32 (numeral segundo) del Código Penal, establece que no habrá responsabilidad penal cuando se actúe con el consentimiento válidamente emitido por el titular del bien jurídico, en los casos en que se pueda disponer de él.</w:t>
      </w:r>
    </w:p>
    <w:p w14:paraId="03DEB4E8" w14:textId="5F6F7E6A" w:rsidR="0063426E"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consentimiento del sujeto pasivo como causa de justificación doctrinalmente reconocida sólo se da cuando se cumplen plenamente las condiciones que también ha </w:t>
      </w:r>
      <w:r>
        <w:rPr>
          <w:rFonts w:ascii="Times New Roman" w:eastAsia="Times New Roman" w:hAnsi="Times New Roman" w:cs="Times New Roman"/>
          <w:sz w:val="24"/>
          <w:szCs w:val="24"/>
        </w:rPr>
        <w:lastRenderedPageBreak/>
        <w:t xml:space="preserve">precisado la doctrina, a saber, que se trate de un derecho susceptible de disposición, que el consentimiento se preste con carácter previo o coetáneo a la acción típica, que la persona sea capaz de consentir y que el consentimiento sea voluntario y manifiesto. </w:t>
      </w:r>
      <w:r w:rsidR="00D5722F" w:rsidRPr="007E4C82">
        <w:rPr>
          <w:rFonts w:ascii="Times New Roman" w:eastAsia="Times New Roman" w:hAnsi="Times New Roman" w:cs="Times New Roman"/>
          <w:noProof/>
          <w:sz w:val="24"/>
          <w:szCs w:val="24"/>
          <w:lang w:val="es-VE"/>
        </w:rPr>
        <w:t>(Corte Suprema de Justicia, 2020)</w:t>
      </w:r>
      <w:r w:rsidR="007E4C82">
        <w:rPr>
          <w:rFonts w:ascii="Times New Roman" w:eastAsia="Times New Roman" w:hAnsi="Times New Roman" w:cs="Times New Roman"/>
          <w:sz w:val="24"/>
          <w:szCs w:val="24"/>
        </w:rPr>
        <w:t>.</w:t>
      </w:r>
    </w:p>
    <w:p w14:paraId="03DEB4E9" w14:textId="26FBCCD3" w:rsidR="0063426E"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De las anteriores afirmaciones surgen l</w:t>
      </w:r>
      <w:r w:rsidR="00906CB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siguientes interrogantes: ¿Cómo se debe proceder legalmente cuando un menor consienta </w:t>
      </w:r>
      <w:r w:rsidR="00906CBB">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tener relaciones, encontrándose por debajo de la </w:t>
      </w:r>
      <w:r w:rsidR="003724B3">
        <w:rPr>
          <w:rFonts w:ascii="Times New Roman" w:eastAsia="Times New Roman" w:hAnsi="Times New Roman" w:cs="Times New Roman"/>
          <w:sz w:val="24"/>
          <w:szCs w:val="24"/>
        </w:rPr>
        <w:t xml:space="preserve">edad </w:t>
      </w:r>
      <w:r>
        <w:rPr>
          <w:rFonts w:ascii="Times New Roman" w:eastAsia="Times New Roman" w:hAnsi="Times New Roman" w:cs="Times New Roman"/>
          <w:sz w:val="24"/>
          <w:szCs w:val="24"/>
        </w:rPr>
        <w:t xml:space="preserve">mínima establecida por la </w:t>
      </w:r>
      <w:r w:rsidR="00A50776">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ey? ¿Es posible que el consentimiento no excluya </w:t>
      </w:r>
      <w:r w:rsidR="0052499E">
        <w:rPr>
          <w:rFonts w:ascii="Times New Roman" w:eastAsia="Times New Roman" w:hAnsi="Times New Roman" w:cs="Times New Roman"/>
          <w:sz w:val="24"/>
          <w:szCs w:val="24"/>
        </w:rPr>
        <w:t xml:space="preserve">o evalúe </w:t>
      </w:r>
      <w:r>
        <w:rPr>
          <w:rFonts w:ascii="Times New Roman" w:eastAsia="Times New Roman" w:hAnsi="Times New Roman" w:cs="Times New Roman"/>
          <w:sz w:val="24"/>
          <w:szCs w:val="24"/>
        </w:rPr>
        <w:t>la responsabilidad penal? y ¿Constituye una violación</w:t>
      </w:r>
      <w:r w:rsidR="00906CB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las relaciones sexuales </w:t>
      </w:r>
      <w:r w:rsidR="00906CBB">
        <w:rPr>
          <w:rFonts w:ascii="Times New Roman" w:eastAsia="Times New Roman" w:hAnsi="Times New Roman" w:cs="Times New Roman"/>
          <w:sz w:val="24"/>
          <w:szCs w:val="24"/>
        </w:rPr>
        <w:t xml:space="preserve">sostenidas </w:t>
      </w:r>
      <w:r>
        <w:rPr>
          <w:rFonts w:ascii="Times New Roman" w:eastAsia="Times New Roman" w:hAnsi="Times New Roman" w:cs="Times New Roman"/>
          <w:sz w:val="24"/>
          <w:szCs w:val="24"/>
        </w:rPr>
        <w:t xml:space="preserve">con menores de catorce años sin amenazas o presiones de por </w:t>
      </w:r>
      <w:r w:rsidR="00D5722F">
        <w:rPr>
          <w:rFonts w:ascii="Times New Roman" w:eastAsia="Times New Roman" w:hAnsi="Times New Roman" w:cs="Times New Roman"/>
          <w:sz w:val="24"/>
          <w:szCs w:val="24"/>
        </w:rPr>
        <w:t>medio?</w:t>
      </w:r>
    </w:p>
    <w:p w14:paraId="03DEB4EA" w14:textId="15FC4B0D" w:rsidR="0063426E"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tanto, para que se aplique esta </w:t>
      </w:r>
      <w:r w:rsidR="00E41B1C">
        <w:rPr>
          <w:rFonts w:ascii="Times New Roman" w:eastAsia="Times New Roman" w:hAnsi="Times New Roman" w:cs="Times New Roman"/>
          <w:sz w:val="24"/>
          <w:szCs w:val="24"/>
        </w:rPr>
        <w:t>causal de ausencia de responsabilidad</w:t>
      </w:r>
      <w:r>
        <w:rPr>
          <w:rFonts w:ascii="Times New Roman" w:eastAsia="Times New Roman" w:hAnsi="Times New Roman" w:cs="Times New Roman"/>
          <w:sz w:val="24"/>
          <w:szCs w:val="24"/>
        </w:rPr>
        <w:t xml:space="preserve"> se hace necesario disponer del derecho</w:t>
      </w:r>
      <w:r w:rsidR="008677D3">
        <w:rPr>
          <w:rFonts w:ascii="Times New Roman" w:eastAsia="Times New Roman" w:hAnsi="Times New Roman" w:cs="Times New Roman"/>
          <w:sz w:val="24"/>
          <w:szCs w:val="24"/>
        </w:rPr>
        <w:t>, pues e</w:t>
      </w:r>
      <w:r>
        <w:rPr>
          <w:rFonts w:ascii="Times New Roman" w:eastAsia="Times New Roman" w:hAnsi="Times New Roman" w:cs="Times New Roman"/>
          <w:sz w:val="24"/>
          <w:szCs w:val="24"/>
        </w:rPr>
        <w:t xml:space="preserve">l tema de la sexualidad tiene un significado muy personal. </w:t>
      </w:r>
      <w:r w:rsidR="008677D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 ocurrido que el sujeto activo es judicializado, </w:t>
      </w:r>
      <w:r w:rsidR="008677D3">
        <w:rPr>
          <w:rFonts w:ascii="Times New Roman" w:eastAsia="Times New Roman" w:hAnsi="Times New Roman" w:cs="Times New Roman"/>
          <w:sz w:val="24"/>
          <w:szCs w:val="24"/>
        </w:rPr>
        <w:t>aun</w:t>
      </w:r>
      <w:r>
        <w:rPr>
          <w:rFonts w:ascii="Times New Roman" w:eastAsia="Times New Roman" w:hAnsi="Times New Roman" w:cs="Times New Roman"/>
          <w:sz w:val="24"/>
          <w:szCs w:val="24"/>
        </w:rPr>
        <w:t xml:space="preserve"> cuando el menor afirma su consentimiento</w:t>
      </w:r>
      <w:r w:rsidR="008677D3">
        <w:rPr>
          <w:rFonts w:ascii="Times New Roman" w:eastAsia="Times New Roman" w:hAnsi="Times New Roman" w:cs="Times New Roman"/>
          <w:sz w:val="24"/>
          <w:szCs w:val="24"/>
        </w:rPr>
        <w:t>, y e</w:t>
      </w:r>
      <w:r>
        <w:rPr>
          <w:rFonts w:ascii="Times New Roman" w:eastAsia="Times New Roman" w:hAnsi="Times New Roman" w:cs="Times New Roman"/>
          <w:sz w:val="24"/>
          <w:szCs w:val="24"/>
        </w:rPr>
        <w:t xml:space="preserve">sta peculiar circunstancia se fundamenta en la noción o inferencia </w:t>
      </w:r>
      <w:r w:rsidR="008677D3">
        <w:rPr>
          <w:rFonts w:ascii="Times New Roman" w:eastAsia="Times New Roman" w:hAnsi="Times New Roman" w:cs="Times New Roman"/>
          <w:sz w:val="24"/>
          <w:szCs w:val="24"/>
        </w:rPr>
        <w:t>según la cual</w:t>
      </w:r>
      <w:r>
        <w:rPr>
          <w:rFonts w:ascii="Times New Roman" w:eastAsia="Times New Roman" w:hAnsi="Times New Roman" w:cs="Times New Roman"/>
          <w:sz w:val="24"/>
          <w:szCs w:val="24"/>
        </w:rPr>
        <w:t xml:space="preserve"> el asentimiento del menor </w:t>
      </w:r>
      <w:r w:rsidR="008677D3">
        <w:rPr>
          <w:rFonts w:ascii="Times New Roman" w:eastAsia="Times New Roman" w:hAnsi="Times New Roman" w:cs="Times New Roman"/>
          <w:sz w:val="24"/>
          <w:szCs w:val="24"/>
        </w:rPr>
        <w:t xml:space="preserve">de 14 años </w:t>
      </w:r>
      <w:r>
        <w:rPr>
          <w:rFonts w:ascii="Times New Roman" w:eastAsia="Times New Roman" w:hAnsi="Times New Roman" w:cs="Times New Roman"/>
          <w:sz w:val="24"/>
          <w:szCs w:val="24"/>
        </w:rPr>
        <w:t xml:space="preserve">es un consentimiento inválido </w:t>
      </w:r>
      <w:r w:rsidRPr="008677D3">
        <w:rPr>
          <w:rFonts w:ascii="Times New Roman" w:eastAsia="Times New Roman" w:hAnsi="Times New Roman" w:cs="Times New Roman"/>
          <w:sz w:val="24"/>
          <w:szCs w:val="24"/>
        </w:rPr>
        <w:t>per se</w:t>
      </w:r>
      <w:r>
        <w:rPr>
          <w:rFonts w:ascii="Times New Roman" w:eastAsia="Times New Roman" w:hAnsi="Times New Roman" w:cs="Times New Roman"/>
          <w:sz w:val="24"/>
          <w:szCs w:val="24"/>
        </w:rPr>
        <w:t xml:space="preserve">, en razón de su edad y de carecer de la capacidad para consentir. Es decir, no es necesario que esté viciado por el ejercicio de la influencia, sino que el hecho de que provenga de </w:t>
      </w:r>
      <w:r w:rsidR="008677D3">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menor lo hace nulo por defecto.</w:t>
      </w:r>
    </w:p>
    <w:p w14:paraId="03DEB4EB" w14:textId="08CC4671" w:rsidR="0063426E"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más crucial y probablemente discutible es que este supuesto </w:t>
      </w:r>
      <w:r w:rsidR="00F853AB">
        <w:rPr>
          <w:rFonts w:ascii="Times New Roman" w:eastAsia="Times New Roman" w:hAnsi="Times New Roman" w:cs="Times New Roman"/>
          <w:sz w:val="24"/>
          <w:szCs w:val="24"/>
        </w:rPr>
        <w:t xml:space="preserve">se basa en una presunción </w:t>
      </w:r>
      <w:r w:rsidR="006D21FC">
        <w:rPr>
          <w:rFonts w:ascii="Times New Roman" w:eastAsia="Times New Roman" w:hAnsi="Times New Roman" w:cs="Times New Roman"/>
          <w:iCs/>
          <w:sz w:val="24"/>
          <w:szCs w:val="24"/>
        </w:rPr>
        <w:t>de</w:t>
      </w:r>
      <w:r w:rsidR="00F853AB" w:rsidRPr="00F853AB">
        <w:rPr>
          <w:rFonts w:ascii="Times New Roman" w:eastAsia="Times New Roman" w:hAnsi="Times New Roman" w:cs="Times New Roman"/>
          <w:iCs/>
          <w:sz w:val="24"/>
          <w:szCs w:val="24"/>
        </w:rPr>
        <w:t xml:space="preserve"> derecho</w:t>
      </w:r>
      <w:r w:rsidR="00F853A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iuris et de iure</w:t>
      </w:r>
      <w:r>
        <w:rPr>
          <w:rFonts w:ascii="Times New Roman" w:eastAsia="Times New Roman" w:hAnsi="Times New Roman" w:cs="Times New Roman"/>
          <w:sz w:val="24"/>
          <w:szCs w:val="24"/>
        </w:rPr>
        <w:t>, lo que significa que no aceptarán dentro del proceso pruebas en contrario</w:t>
      </w:r>
      <w:r w:rsidR="0042627A">
        <w:rPr>
          <w:rFonts w:ascii="Times New Roman" w:eastAsia="Times New Roman" w:hAnsi="Times New Roman" w:cs="Times New Roman"/>
          <w:sz w:val="24"/>
          <w:szCs w:val="24"/>
        </w:rPr>
        <w:t>, ni siquiera las que demuestren el consentimiento del sujeto pasivo</w:t>
      </w:r>
      <w:r>
        <w:rPr>
          <w:rFonts w:ascii="Times New Roman" w:eastAsia="Times New Roman" w:hAnsi="Times New Roman" w:cs="Times New Roman"/>
          <w:sz w:val="24"/>
          <w:szCs w:val="24"/>
        </w:rPr>
        <w:t xml:space="preserve">. La libertad sexual es </w:t>
      </w:r>
      <w:r w:rsidR="008677D3">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bien jurídico del que se puede prescindir cuando se analiza el consentimiento como forma para establecer la responsabilidad penal</w:t>
      </w:r>
      <w:r w:rsidR="008677D3">
        <w:rPr>
          <w:rFonts w:ascii="Times New Roman" w:eastAsia="Times New Roman" w:hAnsi="Times New Roman" w:cs="Times New Roman"/>
          <w:sz w:val="24"/>
          <w:szCs w:val="24"/>
        </w:rPr>
        <w:t xml:space="preserve"> en estos casos</w:t>
      </w:r>
      <w:r>
        <w:rPr>
          <w:rFonts w:ascii="Times New Roman" w:eastAsia="Times New Roman" w:hAnsi="Times New Roman" w:cs="Times New Roman"/>
          <w:sz w:val="24"/>
          <w:szCs w:val="24"/>
        </w:rPr>
        <w:t xml:space="preserve">, y esto es </w:t>
      </w:r>
      <w:r>
        <w:rPr>
          <w:rFonts w:ascii="Times New Roman" w:eastAsia="Times New Roman" w:hAnsi="Times New Roman" w:cs="Times New Roman"/>
          <w:sz w:val="24"/>
          <w:szCs w:val="24"/>
        </w:rPr>
        <w:lastRenderedPageBreak/>
        <w:t>apenas inteligible, ya que la libertad es la facultad de autodeterminación. Sin embargo, en este tipo de delitos sexuales el niño, niña o adolescente carece de esta capacidad, porque es importante optar por proteger</w:t>
      </w:r>
      <w:r w:rsidR="008677D3">
        <w:rPr>
          <w:rFonts w:ascii="Times New Roman" w:eastAsia="Times New Roman" w:hAnsi="Times New Roman" w:cs="Times New Roman"/>
          <w:sz w:val="24"/>
          <w:szCs w:val="24"/>
        </w:rPr>
        <w:t>lo</w:t>
      </w:r>
      <w:r>
        <w:rPr>
          <w:rFonts w:ascii="Times New Roman" w:eastAsia="Times New Roman" w:hAnsi="Times New Roman" w:cs="Times New Roman"/>
          <w:sz w:val="24"/>
          <w:szCs w:val="24"/>
        </w:rPr>
        <w:t xml:space="preserve"> de las lesiones o de cualquier forma de compromiso sexual para mantener su correcto desarrollo en el ámbito de su sexualidad. </w:t>
      </w:r>
      <w:r w:rsidR="008677D3">
        <w:rPr>
          <w:rFonts w:ascii="Times New Roman" w:eastAsia="Times New Roman" w:hAnsi="Times New Roman" w:cs="Times New Roman"/>
          <w:sz w:val="24"/>
          <w:szCs w:val="24"/>
        </w:rPr>
        <w:t xml:space="preserve">Y esto ocurre </w:t>
      </w:r>
      <w:r>
        <w:rPr>
          <w:rFonts w:ascii="Times New Roman" w:eastAsia="Times New Roman" w:hAnsi="Times New Roman" w:cs="Times New Roman"/>
          <w:sz w:val="24"/>
          <w:szCs w:val="24"/>
        </w:rPr>
        <w:t xml:space="preserve">en razón </w:t>
      </w:r>
      <w:r w:rsidR="008677D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que los menores están blindados legalmente contra estos actos</w:t>
      </w:r>
      <w:r w:rsidR="0042627A">
        <w:rPr>
          <w:rFonts w:ascii="Times New Roman" w:eastAsia="Times New Roman" w:hAnsi="Times New Roman" w:cs="Times New Roman"/>
          <w:sz w:val="24"/>
          <w:szCs w:val="24"/>
        </w:rPr>
        <w:t xml:space="preserve"> con fundamento en el interés super</w:t>
      </w:r>
      <w:r w:rsidR="00EF08AA">
        <w:rPr>
          <w:rFonts w:ascii="Times New Roman" w:eastAsia="Times New Roman" w:hAnsi="Times New Roman" w:cs="Times New Roman"/>
          <w:sz w:val="24"/>
          <w:szCs w:val="24"/>
        </w:rPr>
        <w:t>i</w:t>
      </w:r>
      <w:r w:rsidR="0042627A">
        <w:rPr>
          <w:rFonts w:ascii="Times New Roman" w:eastAsia="Times New Roman" w:hAnsi="Times New Roman" w:cs="Times New Roman"/>
          <w:sz w:val="24"/>
          <w:szCs w:val="24"/>
        </w:rPr>
        <w:t>o</w:t>
      </w:r>
      <w:r w:rsidR="00EF08AA">
        <w:rPr>
          <w:rFonts w:ascii="Times New Roman" w:eastAsia="Times New Roman" w:hAnsi="Times New Roman" w:cs="Times New Roman"/>
          <w:sz w:val="24"/>
          <w:szCs w:val="24"/>
        </w:rPr>
        <w:t>r</w:t>
      </w:r>
      <w:r w:rsidR="0042627A">
        <w:rPr>
          <w:rFonts w:ascii="Times New Roman" w:eastAsia="Times New Roman" w:hAnsi="Times New Roman" w:cs="Times New Roman"/>
          <w:sz w:val="24"/>
          <w:szCs w:val="24"/>
        </w:rPr>
        <w:t xml:space="preserve"> del menor que consagra la Ley 1098 de 2006 </w:t>
      </w:r>
      <w:r w:rsidR="008677D3">
        <w:rPr>
          <w:rFonts w:ascii="Times New Roman" w:eastAsia="Times New Roman" w:hAnsi="Times New Roman" w:cs="Times New Roman"/>
          <w:sz w:val="24"/>
          <w:szCs w:val="24"/>
        </w:rPr>
        <w:t>o Código de la</w:t>
      </w:r>
      <w:r w:rsidR="0042627A">
        <w:rPr>
          <w:rFonts w:ascii="Times New Roman" w:eastAsia="Times New Roman" w:hAnsi="Times New Roman" w:cs="Times New Roman"/>
          <w:sz w:val="24"/>
          <w:szCs w:val="24"/>
        </w:rPr>
        <w:t xml:space="preserve"> Infancia y Adolescencia,</w:t>
      </w:r>
      <w:r>
        <w:rPr>
          <w:rFonts w:ascii="Times New Roman" w:eastAsia="Times New Roman" w:hAnsi="Times New Roman" w:cs="Times New Roman"/>
          <w:sz w:val="24"/>
          <w:szCs w:val="24"/>
        </w:rPr>
        <w:t xml:space="preserve"> por lo </w:t>
      </w:r>
      <w:r w:rsidR="008677D3">
        <w:rPr>
          <w:rFonts w:ascii="Times New Roman" w:eastAsia="Times New Roman" w:hAnsi="Times New Roman" w:cs="Times New Roman"/>
          <w:sz w:val="24"/>
          <w:szCs w:val="24"/>
        </w:rPr>
        <w:t>que constituye</w:t>
      </w:r>
      <w:r>
        <w:rPr>
          <w:rFonts w:ascii="Times New Roman" w:eastAsia="Times New Roman" w:hAnsi="Times New Roman" w:cs="Times New Roman"/>
          <w:sz w:val="24"/>
          <w:szCs w:val="24"/>
        </w:rPr>
        <w:t xml:space="preserve"> un hecho ilícito cualquier acto sexual en el que participe.</w:t>
      </w:r>
    </w:p>
    <w:p w14:paraId="0DEBEA4C" w14:textId="142D2C6B" w:rsidR="00A45801"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investigación </w:t>
      </w:r>
      <w:r w:rsidR="00507D54">
        <w:rPr>
          <w:rFonts w:ascii="Times New Roman" w:eastAsia="Times New Roman" w:hAnsi="Times New Roman" w:cs="Times New Roman"/>
          <w:sz w:val="24"/>
          <w:szCs w:val="24"/>
        </w:rPr>
        <w:t xml:space="preserve">pretende </w:t>
      </w:r>
      <w:r w:rsidR="002E4A3A">
        <w:rPr>
          <w:rFonts w:ascii="Times New Roman" w:eastAsia="Times New Roman" w:hAnsi="Times New Roman" w:cs="Times New Roman"/>
          <w:sz w:val="24"/>
          <w:szCs w:val="24"/>
        </w:rPr>
        <w:t xml:space="preserve">analizar </w:t>
      </w:r>
      <w:r w:rsidR="00507D54">
        <w:rPr>
          <w:rFonts w:ascii="Times New Roman" w:eastAsia="Times New Roman" w:hAnsi="Times New Roman" w:cs="Times New Roman"/>
          <w:sz w:val="24"/>
          <w:szCs w:val="24"/>
        </w:rPr>
        <w:t xml:space="preserve">estudios psicológicos de </w:t>
      </w:r>
      <w:r w:rsidR="00BE58A5">
        <w:rPr>
          <w:rFonts w:ascii="Times New Roman" w:eastAsia="Times New Roman" w:hAnsi="Times New Roman" w:cs="Times New Roman"/>
          <w:sz w:val="24"/>
          <w:szCs w:val="24"/>
        </w:rPr>
        <w:t xml:space="preserve">algunos </w:t>
      </w:r>
      <w:r w:rsidR="00507D54">
        <w:rPr>
          <w:rFonts w:ascii="Times New Roman" w:eastAsia="Times New Roman" w:hAnsi="Times New Roman" w:cs="Times New Roman"/>
          <w:sz w:val="24"/>
          <w:szCs w:val="24"/>
        </w:rPr>
        <w:t>exponentes del desarrollo biológico y psicosocial de la niñez a la adolescencia</w:t>
      </w:r>
      <w:r w:rsidR="002E4A3A">
        <w:rPr>
          <w:rFonts w:ascii="Times New Roman" w:eastAsia="Times New Roman" w:hAnsi="Times New Roman" w:cs="Times New Roman"/>
          <w:sz w:val="24"/>
          <w:szCs w:val="24"/>
        </w:rPr>
        <w:t xml:space="preserve"> </w:t>
      </w:r>
      <w:r w:rsidR="00507D54">
        <w:rPr>
          <w:rFonts w:ascii="Times New Roman" w:eastAsia="Times New Roman" w:hAnsi="Times New Roman" w:cs="Times New Roman"/>
          <w:sz w:val="24"/>
          <w:szCs w:val="24"/>
        </w:rPr>
        <w:t xml:space="preserve">o pubertad, </w:t>
      </w:r>
      <w:r w:rsidR="002E4A3A">
        <w:rPr>
          <w:rFonts w:ascii="Times New Roman" w:eastAsia="Times New Roman" w:hAnsi="Times New Roman" w:cs="Times New Roman"/>
          <w:sz w:val="24"/>
          <w:szCs w:val="24"/>
        </w:rPr>
        <w:t>p</w:t>
      </w:r>
      <w:r w:rsidR="00BE58A5">
        <w:rPr>
          <w:rFonts w:ascii="Times New Roman" w:eastAsia="Times New Roman" w:hAnsi="Times New Roman" w:cs="Times New Roman"/>
          <w:sz w:val="24"/>
          <w:szCs w:val="24"/>
        </w:rPr>
        <w:t>rocurando</w:t>
      </w:r>
      <w:r w:rsidR="002E4A3A">
        <w:rPr>
          <w:rFonts w:ascii="Times New Roman" w:eastAsia="Times New Roman" w:hAnsi="Times New Roman" w:cs="Times New Roman"/>
          <w:sz w:val="24"/>
          <w:szCs w:val="24"/>
        </w:rPr>
        <w:t xml:space="preserve"> de esta forma</w:t>
      </w:r>
      <w:r w:rsidR="00A45801">
        <w:rPr>
          <w:rFonts w:ascii="Times New Roman" w:eastAsia="Times New Roman" w:hAnsi="Times New Roman" w:cs="Times New Roman"/>
          <w:sz w:val="24"/>
          <w:szCs w:val="24"/>
        </w:rPr>
        <w:t xml:space="preserve"> comprender </w:t>
      </w:r>
      <w:r w:rsidR="00EF08AA">
        <w:rPr>
          <w:rFonts w:ascii="Times New Roman" w:eastAsia="Times New Roman" w:hAnsi="Times New Roman" w:cs="Times New Roman"/>
          <w:sz w:val="24"/>
          <w:szCs w:val="24"/>
        </w:rPr>
        <w:t xml:space="preserve">el proceso de maduración psicológica y </w:t>
      </w:r>
      <w:r w:rsidR="002E4A3A">
        <w:rPr>
          <w:rFonts w:ascii="Times New Roman" w:eastAsia="Times New Roman" w:hAnsi="Times New Roman" w:cs="Times New Roman"/>
          <w:sz w:val="24"/>
          <w:szCs w:val="24"/>
        </w:rPr>
        <w:t>la edad para establecer la</w:t>
      </w:r>
      <w:r w:rsidR="00EF08AA">
        <w:rPr>
          <w:rFonts w:ascii="Times New Roman" w:eastAsia="Times New Roman" w:hAnsi="Times New Roman" w:cs="Times New Roman"/>
          <w:sz w:val="24"/>
          <w:szCs w:val="24"/>
        </w:rPr>
        <w:t xml:space="preserve"> autodeterminación personal y sexual</w:t>
      </w:r>
      <w:r w:rsidR="00A45801">
        <w:rPr>
          <w:rFonts w:ascii="Times New Roman" w:eastAsia="Times New Roman" w:hAnsi="Times New Roman" w:cs="Times New Roman"/>
          <w:sz w:val="24"/>
          <w:szCs w:val="24"/>
        </w:rPr>
        <w:t>.</w:t>
      </w:r>
      <w:r w:rsidR="0096322F">
        <w:rPr>
          <w:rFonts w:ascii="Times New Roman" w:eastAsia="Times New Roman" w:hAnsi="Times New Roman" w:cs="Times New Roman"/>
          <w:sz w:val="24"/>
          <w:szCs w:val="24"/>
        </w:rPr>
        <w:t xml:space="preserve"> Para esto también</w:t>
      </w:r>
      <w:r w:rsidR="002E4A3A">
        <w:rPr>
          <w:rFonts w:ascii="Times New Roman" w:eastAsia="Times New Roman" w:hAnsi="Times New Roman" w:cs="Times New Roman"/>
          <w:sz w:val="24"/>
          <w:szCs w:val="24"/>
        </w:rPr>
        <w:t xml:space="preserve"> </w:t>
      </w:r>
      <w:r w:rsidR="00507D54">
        <w:rPr>
          <w:rFonts w:ascii="Times New Roman" w:eastAsia="Times New Roman" w:hAnsi="Times New Roman" w:cs="Times New Roman"/>
          <w:sz w:val="24"/>
          <w:szCs w:val="24"/>
        </w:rPr>
        <w:t>se re</w:t>
      </w:r>
      <w:r w:rsidR="002E4A3A">
        <w:rPr>
          <w:rFonts w:ascii="Times New Roman" w:eastAsia="Times New Roman" w:hAnsi="Times New Roman" w:cs="Times New Roman"/>
          <w:sz w:val="24"/>
          <w:szCs w:val="24"/>
        </w:rPr>
        <w:t>copilaron</w:t>
      </w:r>
      <w:r w:rsidR="00507D54">
        <w:rPr>
          <w:rFonts w:ascii="Times New Roman" w:eastAsia="Times New Roman" w:hAnsi="Times New Roman" w:cs="Times New Roman"/>
          <w:sz w:val="24"/>
          <w:szCs w:val="24"/>
        </w:rPr>
        <w:t xml:space="preserve"> los antecedentes normativos más importantes, </w:t>
      </w:r>
      <w:r w:rsidR="0096322F">
        <w:rPr>
          <w:rFonts w:ascii="Times New Roman" w:eastAsia="Times New Roman" w:hAnsi="Times New Roman" w:cs="Times New Roman"/>
          <w:sz w:val="24"/>
          <w:szCs w:val="24"/>
        </w:rPr>
        <w:t>a partir d</w:t>
      </w:r>
      <w:r w:rsidR="00507D54">
        <w:rPr>
          <w:rFonts w:ascii="Times New Roman" w:eastAsia="Times New Roman" w:hAnsi="Times New Roman" w:cs="Times New Roman"/>
          <w:sz w:val="24"/>
          <w:szCs w:val="24"/>
        </w:rPr>
        <w:t>el bloque de constitucionalidad, la Constitución Política de 1991 y el Código Penal Colombiano</w:t>
      </w:r>
      <w:r w:rsidR="00A45801">
        <w:rPr>
          <w:rFonts w:ascii="Times New Roman" w:eastAsia="Times New Roman" w:hAnsi="Times New Roman" w:cs="Times New Roman"/>
          <w:sz w:val="24"/>
          <w:szCs w:val="24"/>
        </w:rPr>
        <w:t xml:space="preserve">, </w:t>
      </w:r>
      <w:r w:rsidR="0096322F">
        <w:rPr>
          <w:rFonts w:ascii="Times New Roman" w:eastAsia="Times New Roman" w:hAnsi="Times New Roman" w:cs="Times New Roman"/>
          <w:sz w:val="24"/>
          <w:szCs w:val="24"/>
        </w:rPr>
        <w:t>con</w:t>
      </w:r>
      <w:r w:rsidR="00A45801">
        <w:rPr>
          <w:rFonts w:ascii="Times New Roman" w:eastAsia="Times New Roman" w:hAnsi="Times New Roman" w:cs="Times New Roman"/>
          <w:sz w:val="24"/>
          <w:szCs w:val="24"/>
        </w:rPr>
        <w:t xml:space="preserve"> el análisis jurisprudencial de la sentencia T-142 de 2019 de la Corte Constitucional </w:t>
      </w:r>
      <w:r w:rsidR="002E4A3A">
        <w:rPr>
          <w:rFonts w:ascii="Times New Roman" w:eastAsia="Times New Roman" w:hAnsi="Times New Roman" w:cs="Times New Roman"/>
          <w:sz w:val="24"/>
          <w:szCs w:val="24"/>
        </w:rPr>
        <w:t>que hace referencia a la aplicación del principio de oportunidad</w:t>
      </w:r>
      <w:r w:rsidR="001817F0">
        <w:rPr>
          <w:rFonts w:ascii="Times New Roman" w:eastAsia="Times New Roman" w:hAnsi="Times New Roman" w:cs="Times New Roman"/>
          <w:sz w:val="24"/>
          <w:szCs w:val="24"/>
        </w:rPr>
        <w:t xml:space="preserve"> en los delitos sexuales dentro de los procesos del sistema de responsabilidad penal para adolescentes</w:t>
      </w:r>
      <w:r w:rsidR="00A45801">
        <w:rPr>
          <w:rFonts w:ascii="Times New Roman" w:eastAsia="Times New Roman" w:hAnsi="Times New Roman" w:cs="Times New Roman"/>
          <w:sz w:val="24"/>
          <w:szCs w:val="24"/>
        </w:rPr>
        <w:t>.</w:t>
      </w:r>
    </w:p>
    <w:p w14:paraId="2DD0B12D" w14:textId="30A92E88" w:rsidR="007A59BF" w:rsidRDefault="006B2674"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ámbito penal, civil y de familia se revisaron los antecedentes normativos y las leyes vigentes relacionadas con la minoría de edad en Colombia, asuntos como la capacidad absoluta y relativa, el interés superior del menor de edad, la protección contra la violencia sexual establecida en la Constitución Política de 1991, los principios rectores y procedimientos aplicables en el marco de la Ley 1098 de 2006 (Código de la Infancia y la Adolescencia), </w:t>
      </w:r>
      <w:r w:rsidR="0096322F">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también sobre los principios y derechos proclamados en los tratados </w:t>
      </w:r>
      <w:r>
        <w:rPr>
          <w:rFonts w:ascii="Times New Roman" w:eastAsia="Times New Roman" w:hAnsi="Times New Roman" w:cs="Times New Roman"/>
          <w:sz w:val="24"/>
          <w:szCs w:val="24"/>
        </w:rPr>
        <w:lastRenderedPageBreak/>
        <w:t xml:space="preserve">internacionales </w:t>
      </w:r>
      <w:r w:rsidR="0096322F">
        <w:rPr>
          <w:rFonts w:ascii="Times New Roman" w:eastAsia="Times New Roman" w:hAnsi="Times New Roman" w:cs="Times New Roman"/>
          <w:sz w:val="24"/>
          <w:szCs w:val="24"/>
        </w:rPr>
        <w:t xml:space="preserve">suscritos por Colombia </w:t>
      </w:r>
      <w:r>
        <w:rPr>
          <w:rFonts w:ascii="Times New Roman" w:eastAsia="Times New Roman" w:hAnsi="Times New Roman" w:cs="Times New Roman"/>
          <w:sz w:val="24"/>
          <w:szCs w:val="24"/>
        </w:rPr>
        <w:t xml:space="preserve">a favor de la niñez y </w:t>
      </w:r>
      <w:r w:rsidR="0096322F">
        <w:rPr>
          <w:rFonts w:ascii="Times New Roman" w:eastAsia="Times New Roman" w:hAnsi="Times New Roman" w:cs="Times New Roman"/>
          <w:sz w:val="24"/>
          <w:szCs w:val="24"/>
        </w:rPr>
        <w:t>por hacer</w:t>
      </w:r>
      <w:r>
        <w:rPr>
          <w:rFonts w:ascii="Times New Roman" w:eastAsia="Times New Roman" w:hAnsi="Times New Roman" w:cs="Times New Roman"/>
          <w:sz w:val="24"/>
          <w:szCs w:val="24"/>
        </w:rPr>
        <w:t xml:space="preserve"> parte del bloque de constitucionalidad.</w:t>
      </w:r>
    </w:p>
    <w:p w14:paraId="1591B7B0" w14:textId="7B69B315" w:rsidR="007A59BF" w:rsidRPr="007A59BF" w:rsidRDefault="007A59BF" w:rsidP="00B939F3">
      <w:pPr>
        <w:spacing w:before="240" w:after="240" w:line="480" w:lineRule="auto"/>
        <w:ind w:firstLine="709"/>
        <w:rPr>
          <w:rFonts w:ascii="Times New Roman" w:eastAsia="Times New Roman" w:hAnsi="Times New Roman" w:cs="Times New Roman"/>
          <w:sz w:val="24"/>
          <w:szCs w:val="24"/>
        </w:rPr>
      </w:pPr>
      <w:r w:rsidRPr="007A59BF">
        <w:rPr>
          <w:rFonts w:ascii="Times New Roman" w:eastAsia="Times New Roman" w:hAnsi="Times New Roman" w:cs="Times New Roman"/>
          <w:sz w:val="24"/>
          <w:szCs w:val="24"/>
        </w:rPr>
        <w:t>E</w:t>
      </w:r>
      <w:r w:rsidR="00A50776">
        <w:rPr>
          <w:rFonts w:ascii="Times New Roman" w:eastAsia="Times New Roman" w:hAnsi="Times New Roman" w:cs="Times New Roman"/>
          <w:sz w:val="24"/>
          <w:szCs w:val="24"/>
        </w:rPr>
        <w:t>s importante revisar las situaciones que se presentan en los delitos sexuales r</w:t>
      </w:r>
      <w:r w:rsidRPr="007A59BF">
        <w:rPr>
          <w:rFonts w:ascii="Times New Roman" w:eastAsia="Times New Roman" w:hAnsi="Times New Roman" w:cs="Times New Roman"/>
          <w:sz w:val="24"/>
          <w:szCs w:val="24"/>
        </w:rPr>
        <w:t xml:space="preserve">elacionados con </w:t>
      </w:r>
      <w:r w:rsidR="0096322F">
        <w:rPr>
          <w:rFonts w:ascii="Times New Roman" w:eastAsia="Times New Roman" w:hAnsi="Times New Roman" w:cs="Times New Roman"/>
          <w:sz w:val="24"/>
          <w:szCs w:val="24"/>
        </w:rPr>
        <w:t xml:space="preserve">las </w:t>
      </w:r>
      <w:r w:rsidRPr="007A59BF">
        <w:rPr>
          <w:rFonts w:ascii="Times New Roman" w:eastAsia="Times New Roman" w:hAnsi="Times New Roman" w:cs="Times New Roman"/>
          <w:sz w:val="24"/>
          <w:szCs w:val="24"/>
        </w:rPr>
        <w:t xml:space="preserve">conductas abusivas ejercidas por miembros del grupo familiar de los </w:t>
      </w:r>
      <w:r w:rsidR="000B4B90">
        <w:rPr>
          <w:rFonts w:ascii="Times New Roman" w:eastAsia="Times New Roman" w:hAnsi="Times New Roman" w:cs="Times New Roman"/>
          <w:sz w:val="24"/>
          <w:szCs w:val="24"/>
        </w:rPr>
        <w:t>niños, niñas y adolescentes</w:t>
      </w:r>
      <w:r w:rsidRPr="007A59BF">
        <w:rPr>
          <w:rFonts w:ascii="Times New Roman" w:eastAsia="Times New Roman" w:hAnsi="Times New Roman" w:cs="Times New Roman"/>
          <w:sz w:val="24"/>
          <w:szCs w:val="24"/>
        </w:rPr>
        <w:t xml:space="preserve">, como </w:t>
      </w:r>
      <w:r w:rsidR="0096322F">
        <w:rPr>
          <w:rFonts w:ascii="Times New Roman" w:eastAsia="Times New Roman" w:hAnsi="Times New Roman" w:cs="Times New Roman"/>
          <w:sz w:val="24"/>
          <w:szCs w:val="24"/>
        </w:rPr>
        <w:t xml:space="preserve">los </w:t>
      </w:r>
      <w:r w:rsidRPr="007A59BF">
        <w:rPr>
          <w:rFonts w:ascii="Times New Roman" w:eastAsia="Times New Roman" w:hAnsi="Times New Roman" w:cs="Times New Roman"/>
          <w:sz w:val="24"/>
          <w:szCs w:val="24"/>
        </w:rPr>
        <w:t>compañeros sentimentales de las progenitoras, tíos, abuelos, hermanos, hermanastros, primos y algunas veces hasta los mismos p</w:t>
      </w:r>
      <w:r w:rsidR="00A50776">
        <w:rPr>
          <w:rFonts w:ascii="Times New Roman" w:eastAsia="Times New Roman" w:hAnsi="Times New Roman" w:cs="Times New Roman"/>
          <w:sz w:val="24"/>
          <w:szCs w:val="24"/>
        </w:rPr>
        <w:t>rogenitore</w:t>
      </w:r>
      <w:r w:rsidRPr="007A59BF">
        <w:rPr>
          <w:rFonts w:ascii="Times New Roman" w:eastAsia="Times New Roman" w:hAnsi="Times New Roman" w:cs="Times New Roman"/>
          <w:sz w:val="24"/>
          <w:szCs w:val="24"/>
        </w:rPr>
        <w:t xml:space="preserve">s, o personas cercanas a la familia, </w:t>
      </w:r>
      <w:r w:rsidR="0096322F">
        <w:rPr>
          <w:rFonts w:ascii="Times New Roman" w:eastAsia="Times New Roman" w:hAnsi="Times New Roman" w:cs="Times New Roman"/>
          <w:sz w:val="24"/>
          <w:szCs w:val="24"/>
        </w:rPr>
        <w:t>por tener</w:t>
      </w:r>
      <w:r w:rsidRPr="007A59BF">
        <w:rPr>
          <w:rFonts w:ascii="Times New Roman" w:eastAsia="Times New Roman" w:hAnsi="Times New Roman" w:cs="Times New Roman"/>
          <w:sz w:val="24"/>
          <w:szCs w:val="24"/>
        </w:rPr>
        <w:t xml:space="preserve"> mayor acceso a los </w:t>
      </w:r>
      <w:r w:rsidR="00E9258E">
        <w:rPr>
          <w:rFonts w:ascii="Times New Roman" w:eastAsia="Times New Roman" w:hAnsi="Times New Roman" w:cs="Times New Roman"/>
          <w:sz w:val="24"/>
          <w:szCs w:val="24"/>
        </w:rPr>
        <w:t>niños, niñas y adolescentes</w:t>
      </w:r>
      <w:r w:rsidRPr="007A59BF">
        <w:rPr>
          <w:rFonts w:ascii="Times New Roman" w:eastAsia="Times New Roman" w:hAnsi="Times New Roman" w:cs="Times New Roman"/>
          <w:sz w:val="24"/>
          <w:szCs w:val="24"/>
        </w:rPr>
        <w:t xml:space="preserve">, </w:t>
      </w:r>
      <w:r w:rsidR="0096322F">
        <w:rPr>
          <w:rFonts w:ascii="Times New Roman" w:eastAsia="Times New Roman" w:hAnsi="Times New Roman" w:cs="Times New Roman"/>
          <w:sz w:val="24"/>
          <w:szCs w:val="24"/>
        </w:rPr>
        <w:t>y en otros</w:t>
      </w:r>
      <w:r w:rsidRPr="007A59BF">
        <w:rPr>
          <w:rFonts w:ascii="Times New Roman" w:eastAsia="Times New Roman" w:hAnsi="Times New Roman" w:cs="Times New Roman"/>
          <w:sz w:val="24"/>
          <w:szCs w:val="24"/>
        </w:rPr>
        <w:t xml:space="preserve"> casos </w:t>
      </w:r>
      <w:r w:rsidR="0096322F">
        <w:rPr>
          <w:rFonts w:ascii="Times New Roman" w:eastAsia="Times New Roman" w:hAnsi="Times New Roman" w:cs="Times New Roman"/>
          <w:sz w:val="24"/>
          <w:szCs w:val="24"/>
        </w:rPr>
        <w:t xml:space="preserve">los </w:t>
      </w:r>
      <w:r w:rsidRPr="007A59BF">
        <w:rPr>
          <w:rFonts w:ascii="Times New Roman" w:eastAsia="Times New Roman" w:hAnsi="Times New Roman" w:cs="Times New Roman"/>
          <w:sz w:val="24"/>
          <w:szCs w:val="24"/>
        </w:rPr>
        <w:t>vecinos</w:t>
      </w:r>
      <w:r w:rsidR="0096322F">
        <w:rPr>
          <w:rFonts w:ascii="Times New Roman" w:eastAsia="Times New Roman" w:hAnsi="Times New Roman" w:cs="Times New Roman"/>
          <w:sz w:val="24"/>
          <w:szCs w:val="24"/>
        </w:rPr>
        <w:t xml:space="preserve"> y</w:t>
      </w:r>
      <w:r w:rsidRPr="007A59BF">
        <w:rPr>
          <w:rFonts w:ascii="Times New Roman" w:eastAsia="Times New Roman" w:hAnsi="Times New Roman" w:cs="Times New Roman"/>
          <w:sz w:val="24"/>
          <w:szCs w:val="24"/>
        </w:rPr>
        <w:t xml:space="preserve"> otras personas </w:t>
      </w:r>
      <w:r w:rsidR="0096322F">
        <w:rPr>
          <w:rFonts w:ascii="Times New Roman" w:eastAsia="Times New Roman" w:hAnsi="Times New Roman" w:cs="Times New Roman"/>
          <w:sz w:val="24"/>
          <w:szCs w:val="24"/>
        </w:rPr>
        <w:t>con acceso a</w:t>
      </w:r>
      <w:r w:rsidRPr="007A59BF">
        <w:rPr>
          <w:rFonts w:ascii="Times New Roman" w:eastAsia="Times New Roman" w:hAnsi="Times New Roman" w:cs="Times New Roman"/>
          <w:sz w:val="24"/>
          <w:szCs w:val="24"/>
        </w:rPr>
        <w:t xml:space="preserve"> la vivienda </w:t>
      </w:r>
      <w:r w:rsidR="0096322F">
        <w:rPr>
          <w:rFonts w:ascii="Times New Roman" w:eastAsia="Times New Roman" w:hAnsi="Times New Roman" w:cs="Times New Roman"/>
          <w:sz w:val="24"/>
          <w:szCs w:val="24"/>
        </w:rPr>
        <w:t>donde residen</w:t>
      </w:r>
      <w:r w:rsidRPr="007A59BF">
        <w:rPr>
          <w:rFonts w:ascii="Times New Roman" w:eastAsia="Times New Roman" w:hAnsi="Times New Roman" w:cs="Times New Roman"/>
          <w:sz w:val="24"/>
          <w:szCs w:val="24"/>
        </w:rPr>
        <w:t xml:space="preserve"> los menores. </w:t>
      </w:r>
    </w:p>
    <w:p w14:paraId="4ABEDC82" w14:textId="7D18CDDA" w:rsidR="007A59BF" w:rsidRPr="00267ADD" w:rsidRDefault="0096322F" w:rsidP="00B939F3">
      <w:pPr>
        <w:spacing w:before="240" w:after="24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consideró</w:t>
      </w:r>
      <w:r w:rsidR="001548DC">
        <w:rPr>
          <w:rFonts w:ascii="Times New Roman" w:eastAsia="Times New Roman" w:hAnsi="Times New Roman" w:cs="Times New Roman"/>
          <w:sz w:val="24"/>
          <w:szCs w:val="24"/>
        </w:rPr>
        <w:t xml:space="preserve"> importante revisar </w:t>
      </w:r>
      <w:r>
        <w:rPr>
          <w:rFonts w:ascii="Times New Roman" w:eastAsia="Times New Roman" w:hAnsi="Times New Roman" w:cs="Times New Roman"/>
          <w:sz w:val="24"/>
          <w:szCs w:val="24"/>
        </w:rPr>
        <w:t>los</w:t>
      </w:r>
      <w:r w:rsidR="001548DC">
        <w:rPr>
          <w:rFonts w:ascii="Times New Roman" w:eastAsia="Times New Roman" w:hAnsi="Times New Roman" w:cs="Times New Roman"/>
          <w:sz w:val="24"/>
          <w:szCs w:val="24"/>
        </w:rPr>
        <w:t xml:space="preserve"> escenario</w:t>
      </w:r>
      <w:r>
        <w:rPr>
          <w:rFonts w:ascii="Times New Roman" w:eastAsia="Times New Roman" w:hAnsi="Times New Roman" w:cs="Times New Roman"/>
          <w:sz w:val="24"/>
          <w:szCs w:val="24"/>
        </w:rPr>
        <w:t>s</w:t>
      </w:r>
      <w:r w:rsidR="007A59BF" w:rsidRPr="007A59BF">
        <w:rPr>
          <w:rFonts w:ascii="Times New Roman" w:eastAsia="Times New Roman" w:hAnsi="Times New Roman" w:cs="Times New Roman"/>
          <w:sz w:val="24"/>
          <w:szCs w:val="24"/>
        </w:rPr>
        <w:t xml:space="preserve"> donde los actos sexuales o relaciones sexuales </w:t>
      </w:r>
      <w:r>
        <w:rPr>
          <w:rFonts w:ascii="Times New Roman" w:eastAsia="Times New Roman" w:hAnsi="Times New Roman" w:cs="Times New Roman"/>
          <w:sz w:val="24"/>
          <w:szCs w:val="24"/>
        </w:rPr>
        <w:t>“</w:t>
      </w:r>
      <w:r w:rsidR="007A59BF" w:rsidRPr="007A59BF">
        <w:rPr>
          <w:rFonts w:ascii="Times New Roman" w:eastAsia="Times New Roman" w:hAnsi="Times New Roman" w:cs="Times New Roman"/>
          <w:sz w:val="24"/>
          <w:szCs w:val="24"/>
        </w:rPr>
        <w:t>abusivas</w:t>
      </w:r>
      <w:r>
        <w:rPr>
          <w:rFonts w:ascii="Times New Roman" w:eastAsia="Times New Roman" w:hAnsi="Times New Roman" w:cs="Times New Roman"/>
          <w:sz w:val="24"/>
          <w:szCs w:val="24"/>
        </w:rPr>
        <w:t>”</w:t>
      </w:r>
      <w:r w:rsidR="007A59BF" w:rsidRPr="007A59BF">
        <w:rPr>
          <w:rFonts w:ascii="Times New Roman" w:eastAsia="Times New Roman" w:hAnsi="Times New Roman" w:cs="Times New Roman"/>
          <w:sz w:val="24"/>
          <w:szCs w:val="24"/>
        </w:rPr>
        <w:t xml:space="preserve"> </w:t>
      </w:r>
      <w:r w:rsidR="001548DC">
        <w:rPr>
          <w:rFonts w:ascii="Times New Roman" w:eastAsia="Times New Roman" w:hAnsi="Times New Roman" w:cs="Times New Roman"/>
          <w:sz w:val="24"/>
          <w:szCs w:val="24"/>
        </w:rPr>
        <w:t xml:space="preserve">son consentidas, como cuando </w:t>
      </w:r>
      <w:r w:rsidR="001B2ACC">
        <w:rPr>
          <w:rFonts w:ascii="Times New Roman" w:eastAsia="Times New Roman" w:hAnsi="Times New Roman" w:cs="Times New Roman"/>
          <w:sz w:val="24"/>
          <w:szCs w:val="24"/>
        </w:rPr>
        <w:t>ocurren en situaciones</w:t>
      </w:r>
      <w:r w:rsidR="007A59BF" w:rsidRPr="007A59BF">
        <w:rPr>
          <w:rFonts w:ascii="Times New Roman" w:eastAsia="Times New Roman" w:hAnsi="Times New Roman" w:cs="Times New Roman"/>
          <w:sz w:val="24"/>
          <w:szCs w:val="24"/>
        </w:rPr>
        <w:t xml:space="preserve"> sentimentales de noviazgo, convivencia temprana, exploración sexual o por gusto, </w:t>
      </w:r>
      <w:r w:rsidR="001B2ACC">
        <w:rPr>
          <w:rFonts w:ascii="Times New Roman" w:eastAsia="Times New Roman" w:hAnsi="Times New Roman" w:cs="Times New Roman"/>
          <w:sz w:val="24"/>
          <w:szCs w:val="24"/>
        </w:rPr>
        <w:t>sin que</w:t>
      </w:r>
      <w:r w:rsidR="007A59BF" w:rsidRPr="007A59BF">
        <w:rPr>
          <w:rFonts w:ascii="Times New Roman" w:eastAsia="Times New Roman" w:hAnsi="Times New Roman" w:cs="Times New Roman"/>
          <w:sz w:val="24"/>
          <w:szCs w:val="24"/>
        </w:rPr>
        <w:t xml:space="preserve"> medi</w:t>
      </w:r>
      <w:r w:rsidR="001B2ACC">
        <w:rPr>
          <w:rFonts w:ascii="Times New Roman" w:eastAsia="Times New Roman" w:hAnsi="Times New Roman" w:cs="Times New Roman"/>
          <w:sz w:val="24"/>
          <w:szCs w:val="24"/>
        </w:rPr>
        <w:t>e</w:t>
      </w:r>
      <w:r w:rsidR="007A59BF" w:rsidRPr="007A59BF">
        <w:rPr>
          <w:rFonts w:ascii="Times New Roman" w:eastAsia="Times New Roman" w:hAnsi="Times New Roman" w:cs="Times New Roman"/>
          <w:sz w:val="24"/>
          <w:szCs w:val="24"/>
        </w:rPr>
        <w:t xml:space="preserve"> la fuerza o coerción, </w:t>
      </w:r>
      <w:r w:rsidR="001B2ACC">
        <w:rPr>
          <w:rFonts w:ascii="Times New Roman" w:eastAsia="Times New Roman" w:hAnsi="Times New Roman" w:cs="Times New Roman"/>
          <w:sz w:val="24"/>
          <w:szCs w:val="24"/>
        </w:rPr>
        <w:t>o</w:t>
      </w:r>
      <w:r w:rsidR="001548DC">
        <w:rPr>
          <w:rFonts w:ascii="Times New Roman" w:eastAsia="Times New Roman" w:hAnsi="Times New Roman" w:cs="Times New Roman"/>
          <w:sz w:val="24"/>
          <w:szCs w:val="24"/>
        </w:rPr>
        <w:t xml:space="preserve"> las relaciones de poder, </w:t>
      </w:r>
      <w:r w:rsidR="007A59BF" w:rsidRPr="007A59BF">
        <w:rPr>
          <w:rFonts w:ascii="Times New Roman" w:eastAsia="Times New Roman" w:hAnsi="Times New Roman" w:cs="Times New Roman"/>
          <w:sz w:val="24"/>
          <w:szCs w:val="24"/>
        </w:rPr>
        <w:t>sino el consentimiento de las partes</w:t>
      </w:r>
      <w:r w:rsidR="004E421A" w:rsidRPr="007A59BF">
        <w:rPr>
          <w:rFonts w:ascii="Times New Roman" w:eastAsia="Times New Roman" w:hAnsi="Times New Roman" w:cs="Times New Roman"/>
          <w:sz w:val="24"/>
          <w:szCs w:val="24"/>
        </w:rPr>
        <w:t xml:space="preserve">, </w:t>
      </w:r>
      <w:r w:rsidR="007A59BF" w:rsidRPr="007A59BF">
        <w:rPr>
          <w:rFonts w:ascii="Times New Roman" w:eastAsia="Times New Roman" w:hAnsi="Times New Roman" w:cs="Times New Roman"/>
          <w:sz w:val="24"/>
          <w:szCs w:val="24"/>
        </w:rPr>
        <w:t xml:space="preserve">lo cual ha sido objeto de diferentes interpretaciones a nivel legal, </w:t>
      </w:r>
      <w:r w:rsidR="007A41F1">
        <w:rPr>
          <w:rFonts w:ascii="Times New Roman" w:eastAsia="Times New Roman" w:hAnsi="Times New Roman" w:cs="Times New Roman"/>
          <w:sz w:val="24"/>
          <w:szCs w:val="24"/>
        </w:rPr>
        <w:t xml:space="preserve">y requiere </w:t>
      </w:r>
      <w:r w:rsidR="00531053">
        <w:rPr>
          <w:rFonts w:ascii="Times New Roman" w:eastAsia="Times New Roman" w:hAnsi="Times New Roman" w:cs="Times New Roman"/>
          <w:sz w:val="24"/>
          <w:szCs w:val="24"/>
        </w:rPr>
        <w:t xml:space="preserve">de </w:t>
      </w:r>
      <w:r w:rsidR="007A41F1">
        <w:rPr>
          <w:rFonts w:ascii="Times New Roman" w:eastAsia="Times New Roman" w:hAnsi="Times New Roman" w:cs="Times New Roman"/>
          <w:sz w:val="24"/>
          <w:szCs w:val="24"/>
        </w:rPr>
        <w:t>un análisis psicológico y científico sobre la</w:t>
      </w:r>
      <w:r w:rsidR="001548DC">
        <w:rPr>
          <w:rFonts w:ascii="Times New Roman" w:eastAsia="Times New Roman" w:hAnsi="Times New Roman" w:cs="Times New Roman"/>
          <w:sz w:val="24"/>
          <w:szCs w:val="24"/>
        </w:rPr>
        <w:t xml:space="preserve"> edad para la</w:t>
      </w:r>
      <w:r w:rsidR="007A41F1">
        <w:rPr>
          <w:rFonts w:ascii="Times New Roman" w:eastAsia="Times New Roman" w:hAnsi="Times New Roman" w:cs="Times New Roman"/>
          <w:sz w:val="24"/>
          <w:szCs w:val="24"/>
        </w:rPr>
        <w:t xml:space="preserve"> autodeterminación sexua</w:t>
      </w:r>
      <w:r w:rsidR="00A078FE">
        <w:rPr>
          <w:rFonts w:ascii="Times New Roman" w:eastAsia="Times New Roman" w:hAnsi="Times New Roman" w:cs="Times New Roman"/>
          <w:sz w:val="24"/>
          <w:szCs w:val="24"/>
        </w:rPr>
        <w:t>l</w:t>
      </w:r>
      <w:r w:rsidR="00531053">
        <w:rPr>
          <w:rFonts w:ascii="Times New Roman" w:eastAsia="Times New Roman" w:hAnsi="Times New Roman" w:cs="Times New Roman"/>
          <w:sz w:val="24"/>
          <w:szCs w:val="24"/>
        </w:rPr>
        <w:t>, lo</w:t>
      </w:r>
      <w:r w:rsidR="00A078FE">
        <w:rPr>
          <w:rFonts w:ascii="Times New Roman" w:eastAsia="Times New Roman" w:hAnsi="Times New Roman" w:cs="Times New Roman"/>
          <w:sz w:val="24"/>
          <w:szCs w:val="24"/>
        </w:rPr>
        <w:t xml:space="preserve"> que también es analizado </w:t>
      </w:r>
      <w:r w:rsidR="000B4B90">
        <w:rPr>
          <w:rFonts w:ascii="Times New Roman" w:eastAsia="Times New Roman" w:hAnsi="Times New Roman" w:cs="Times New Roman"/>
          <w:sz w:val="24"/>
          <w:szCs w:val="24"/>
        </w:rPr>
        <w:t>en el presente proyecto.</w:t>
      </w:r>
    </w:p>
    <w:p w14:paraId="1D5345C5" w14:textId="07C61A17" w:rsidR="006365BE" w:rsidRDefault="006365BE" w:rsidP="00B939F3">
      <w:pPr>
        <w:spacing w:line="480" w:lineRule="auto"/>
        <w:ind w:firstLine="709"/>
        <w:rPr>
          <w:rFonts w:ascii="Times New Roman" w:eastAsia="Times New Roman" w:hAnsi="Times New Roman" w:cs="Times New Roman"/>
          <w:b/>
          <w:color w:val="000000"/>
          <w:sz w:val="28"/>
          <w:szCs w:val="28"/>
          <w:lang w:val="es-MX" w:eastAsia="es-MX"/>
        </w:rPr>
      </w:pPr>
      <w:r>
        <w:rPr>
          <w:rFonts w:ascii="Times New Roman" w:eastAsia="Times New Roman" w:hAnsi="Times New Roman" w:cs="Times New Roman"/>
          <w:b/>
          <w:color w:val="000000"/>
          <w:sz w:val="28"/>
          <w:szCs w:val="28"/>
        </w:rPr>
        <w:br w:type="page"/>
      </w:r>
    </w:p>
    <w:p w14:paraId="55E3A9BD" w14:textId="77777777" w:rsidR="007A41F1" w:rsidRDefault="007A41F1" w:rsidP="008D19D2">
      <w:pPr>
        <w:pStyle w:val="Ttulo1"/>
        <w:spacing w:line="360" w:lineRule="auto"/>
        <w:jc w:val="center"/>
        <w:rPr>
          <w:rFonts w:ascii="Times New Roman" w:eastAsia="Times New Roman" w:hAnsi="Times New Roman" w:cs="Times New Roman"/>
          <w:b/>
          <w:color w:val="000000"/>
          <w:sz w:val="28"/>
          <w:szCs w:val="28"/>
        </w:rPr>
      </w:pPr>
    </w:p>
    <w:p w14:paraId="03DEB5BE" w14:textId="211AD467" w:rsidR="0063426E" w:rsidRDefault="006B2674" w:rsidP="008D19D2">
      <w:pPr>
        <w:pStyle w:val="Ttulo1"/>
        <w:spacing w:line="360" w:lineRule="auto"/>
        <w:jc w:val="center"/>
        <w:rPr>
          <w:rFonts w:ascii="Times New Roman" w:eastAsia="Times New Roman" w:hAnsi="Times New Roman" w:cs="Times New Roman"/>
          <w:b/>
          <w:color w:val="000000"/>
          <w:sz w:val="28"/>
          <w:szCs w:val="28"/>
        </w:rPr>
      </w:pPr>
      <w:bookmarkStart w:id="5" w:name="_Toc134376631"/>
      <w:r>
        <w:rPr>
          <w:rFonts w:ascii="Times New Roman" w:eastAsia="Times New Roman" w:hAnsi="Times New Roman" w:cs="Times New Roman"/>
          <w:b/>
          <w:color w:val="000000"/>
          <w:sz w:val="28"/>
          <w:szCs w:val="28"/>
        </w:rPr>
        <w:t>CAP</w:t>
      </w:r>
      <w:r w:rsidR="001817F0">
        <w:rPr>
          <w:rFonts w:ascii="Times New Roman" w:eastAsia="Times New Roman" w:hAnsi="Times New Roman" w:cs="Times New Roman"/>
          <w:b/>
          <w:color w:val="000000"/>
          <w:sz w:val="28"/>
          <w:szCs w:val="28"/>
        </w:rPr>
        <w:t>Í</w:t>
      </w:r>
      <w:r>
        <w:rPr>
          <w:rFonts w:ascii="Times New Roman" w:eastAsia="Times New Roman" w:hAnsi="Times New Roman" w:cs="Times New Roman"/>
          <w:b/>
          <w:color w:val="000000"/>
          <w:sz w:val="28"/>
          <w:szCs w:val="28"/>
        </w:rPr>
        <w:t>TULO I</w:t>
      </w:r>
      <w:bookmarkEnd w:id="5"/>
    </w:p>
    <w:p w14:paraId="03DEB5BF" w14:textId="4D949BAC" w:rsidR="0063426E" w:rsidRDefault="006B2674" w:rsidP="008D19D2">
      <w:pPr>
        <w:pStyle w:val="Ttulo1"/>
        <w:spacing w:line="360" w:lineRule="auto"/>
        <w:jc w:val="center"/>
        <w:rPr>
          <w:rFonts w:ascii="Times New Roman" w:eastAsia="Times New Roman" w:hAnsi="Times New Roman" w:cs="Times New Roman"/>
          <w:b/>
          <w:color w:val="000000"/>
          <w:sz w:val="28"/>
          <w:szCs w:val="28"/>
        </w:rPr>
      </w:pPr>
      <w:bookmarkStart w:id="6" w:name="_Toc134376632"/>
      <w:r>
        <w:rPr>
          <w:rFonts w:ascii="Times New Roman" w:eastAsia="Times New Roman" w:hAnsi="Times New Roman" w:cs="Times New Roman"/>
          <w:b/>
          <w:color w:val="000000"/>
          <w:sz w:val="28"/>
          <w:szCs w:val="28"/>
        </w:rPr>
        <w:t>MARCO LEGAL DEL TRATAMIENTO DE LOS DELITOS SEXUALES</w:t>
      </w:r>
      <w:r w:rsidR="001447A5">
        <w:rPr>
          <w:rFonts w:ascii="Times New Roman" w:eastAsia="Times New Roman" w:hAnsi="Times New Roman" w:cs="Times New Roman"/>
          <w:b/>
          <w:color w:val="000000"/>
          <w:sz w:val="28"/>
          <w:szCs w:val="28"/>
        </w:rPr>
        <w:t xml:space="preserve"> EN COLOMBIA</w:t>
      </w:r>
      <w:bookmarkEnd w:id="6"/>
    </w:p>
    <w:p w14:paraId="5BA05126" w14:textId="77777777" w:rsidR="006365BE" w:rsidRDefault="006365BE" w:rsidP="006365BE">
      <w:pPr>
        <w:rPr>
          <w:lang w:val="es-MX" w:eastAsia="es-MX"/>
        </w:rPr>
      </w:pPr>
    </w:p>
    <w:p w14:paraId="3146DFFB" w14:textId="77777777" w:rsidR="006365BE" w:rsidRPr="006365BE" w:rsidRDefault="006365BE" w:rsidP="006365BE">
      <w:pPr>
        <w:rPr>
          <w:lang w:val="es-MX" w:eastAsia="es-MX"/>
        </w:rPr>
      </w:pPr>
    </w:p>
    <w:p w14:paraId="03DEB5C0" w14:textId="77777777" w:rsidR="0063426E" w:rsidRDefault="006B2674" w:rsidP="008D19D2">
      <w:pPr>
        <w:pStyle w:val="Ttulo1"/>
        <w:numPr>
          <w:ilvl w:val="1"/>
          <w:numId w:val="5"/>
        </w:num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7" w:name="_Toc134376633"/>
      <w:r>
        <w:rPr>
          <w:rFonts w:ascii="Times New Roman" w:eastAsia="Times New Roman" w:hAnsi="Times New Roman" w:cs="Times New Roman"/>
          <w:b/>
          <w:color w:val="000000"/>
          <w:sz w:val="24"/>
          <w:szCs w:val="24"/>
        </w:rPr>
        <w:t>El tratamiento de los delitos sexuales con menores de 14 años</w:t>
      </w:r>
      <w:bookmarkEnd w:id="7"/>
      <w:r>
        <w:rPr>
          <w:rFonts w:ascii="Times New Roman" w:eastAsia="Times New Roman" w:hAnsi="Times New Roman" w:cs="Times New Roman"/>
          <w:b/>
          <w:color w:val="000000"/>
          <w:sz w:val="24"/>
          <w:szCs w:val="24"/>
        </w:rPr>
        <w:t xml:space="preserve"> </w:t>
      </w:r>
    </w:p>
    <w:p w14:paraId="03DEB5C1" w14:textId="77777777" w:rsidR="0063426E" w:rsidRDefault="0063426E" w:rsidP="00B939F3">
      <w:pPr>
        <w:spacing w:line="480" w:lineRule="auto"/>
      </w:pPr>
    </w:p>
    <w:p w14:paraId="47470913" w14:textId="1B99490E" w:rsidR="00E74D4A" w:rsidRPr="00E74D4A" w:rsidRDefault="00E74D4A" w:rsidP="00B939F3">
      <w:pPr>
        <w:spacing w:line="480" w:lineRule="auto"/>
        <w:ind w:firstLine="708"/>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La perpetración de delitos sexuales contra menores se aborda bajo varias categorías del Código Penal Colombiano.</w:t>
      </w:r>
      <w:r w:rsidR="0075202A">
        <w:rPr>
          <w:rFonts w:ascii="Times New Roman" w:eastAsia="Times New Roman" w:hAnsi="Times New Roman" w:cs="Times New Roman"/>
          <w:sz w:val="24"/>
          <w:szCs w:val="24"/>
        </w:rPr>
        <w:t xml:space="preserve"> </w:t>
      </w:r>
      <w:r w:rsidRPr="00E74D4A">
        <w:rPr>
          <w:rFonts w:ascii="Times New Roman" w:eastAsia="Times New Roman" w:hAnsi="Times New Roman" w:cs="Times New Roman"/>
          <w:sz w:val="24"/>
          <w:szCs w:val="24"/>
        </w:rPr>
        <w:t xml:space="preserve">Primero, el acceso carnal abusivo con un menor de catorce años se describe en el Artículo 208 del Código Penal de 2000. “Cuando un menor de catorce (14) años participa en contacto sexual, se impone una pena de doce (12) a veinte (20) años de prisión”. De acuerdo con el Artículo 209 </w:t>
      </w:r>
      <w:proofErr w:type="spellStart"/>
      <w:r w:rsidRPr="00E74D4A">
        <w:rPr>
          <w:rFonts w:ascii="Times New Roman" w:eastAsia="Times New Roman" w:hAnsi="Times New Roman" w:cs="Times New Roman"/>
          <w:sz w:val="24"/>
          <w:szCs w:val="24"/>
        </w:rPr>
        <w:t>ejusdem</w:t>
      </w:r>
      <w:proofErr w:type="spellEnd"/>
      <w:r w:rsidRPr="00E74D4A">
        <w:rPr>
          <w:rFonts w:ascii="Times New Roman" w:eastAsia="Times New Roman" w:hAnsi="Times New Roman" w:cs="Times New Roman"/>
          <w:sz w:val="24"/>
          <w:szCs w:val="24"/>
        </w:rPr>
        <w:t xml:space="preserve"> tener relaciones sexuales con un niño menor de catorce (14) años está prohibido</w:t>
      </w:r>
      <w:r>
        <w:rPr>
          <w:rFonts w:ascii="Times New Roman" w:eastAsia="Times New Roman" w:hAnsi="Times New Roman" w:cs="Times New Roman"/>
          <w:sz w:val="24"/>
          <w:szCs w:val="24"/>
        </w:rPr>
        <w:t>.</w:t>
      </w:r>
    </w:p>
    <w:p w14:paraId="66156A47" w14:textId="53B79CB4" w:rsidR="00E74D4A" w:rsidRPr="00E74D4A" w:rsidRDefault="00E74D4A" w:rsidP="00B939F3">
      <w:pPr>
        <w:spacing w:line="360" w:lineRule="auto"/>
        <w:ind w:left="851"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Se puede imponer una pena de nueve (9) a trece (13) años de prisión a cualquier persona que participe en comportamiento sexual no carnal con una persona menor de catorce (14) años o mientras están a su alrededor, o que los incite a hacerlo. (Código Penal, 2000).</w:t>
      </w:r>
    </w:p>
    <w:p w14:paraId="52615D0B" w14:textId="291CC416" w:rsidR="00E74D4A" w:rsidRPr="00E74D4A" w:rsidRDefault="00E74D4A" w:rsidP="00B939F3">
      <w:pPr>
        <w:spacing w:line="480" w:lineRule="auto"/>
        <w:ind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De acuerdo con el Artículo 210, se prohíbe el "contacto carnal o comportamiento sexual abusivo con una víctima indefensa".</w:t>
      </w:r>
      <w:r>
        <w:rPr>
          <w:rFonts w:ascii="Times New Roman" w:eastAsia="Times New Roman" w:hAnsi="Times New Roman" w:cs="Times New Roman"/>
          <w:sz w:val="24"/>
          <w:szCs w:val="24"/>
        </w:rPr>
        <w:t xml:space="preserve"> Además, c</w:t>
      </w:r>
      <w:r w:rsidRPr="00E74D4A">
        <w:rPr>
          <w:rFonts w:ascii="Times New Roman" w:eastAsia="Times New Roman" w:hAnsi="Times New Roman" w:cs="Times New Roman"/>
          <w:sz w:val="24"/>
          <w:szCs w:val="24"/>
        </w:rPr>
        <w:t>ualquier persona descubierta teniendo relaciones sexuales con alguien que está inconsciente, enfermo o incapaz de resistir recibe una pena de 12 a 20 años de prisión.</w:t>
      </w:r>
    </w:p>
    <w:p w14:paraId="08189A6B" w14:textId="15070E54" w:rsidR="00E74D4A" w:rsidRPr="00E74D4A" w:rsidRDefault="00E74D4A" w:rsidP="00B939F3">
      <w:pPr>
        <w:spacing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E74D4A">
        <w:rPr>
          <w:rFonts w:ascii="Times New Roman" w:eastAsia="Times New Roman" w:hAnsi="Times New Roman" w:cs="Times New Roman"/>
          <w:sz w:val="24"/>
          <w:szCs w:val="24"/>
        </w:rPr>
        <w:t>La pena es entre ocho y dieciséis años de cárcel si se cometen actos sexuales distintos al acceso</w:t>
      </w:r>
      <w:r>
        <w:rPr>
          <w:rFonts w:ascii="Times New Roman" w:eastAsia="Times New Roman" w:hAnsi="Times New Roman" w:cs="Times New Roman"/>
          <w:sz w:val="24"/>
          <w:szCs w:val="24"/>
        </w:rPr>
        <w:t>”</w:t>
      </w:r>
      <w:r w:rsidRPr="00E74D4A">
        <w:rPr>
          <w:rFonts w:ascii="Times New Roman" w:eastAsia="Times New Roman" w:hAnsi="Times New Roman" w:cs="Times New Roman"/>
          <w:sz w:val="24"/>
          <w:szCs w:val="24"/>
        </w:rPr>
        <w:t xml:space="preserve"> (Código Penal, 2000).</w:t>
      </w:r>
    </w:p>
    <w:p w14:paraId="26104001" w14:textId="0E5834AD" w:rsidR="00E74D4A" w:rsidRPr="00E74D4A" w:rsidRDefault="00E74D4A" w:rsidP="00B939F3">
      <w:pPr>
        <w:spacing w:line="480" w:lineRule="auto"/>
        <w:ind w:left="851"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Los tipos penales que requieren un sujeto pasivo calificado en estas situaciones exigen que deben ser menores de catorce años ("14") ya que refleja un sistema proteccionista contra las personas que, según la ley colombiana, no pueden dar su consentimiento de manera libre y voluntaria. (Código Penal 2000).</w:t>
      </w:r>
    </w:p>
    <w:p w14:paraId="7971DA61" w14:textId="48A573CC" w:rsidR="00E74D4A" w:rsidRPr="00E74D4A" w:rsidRDefault="00E74D4A" w:rsidP="00B939F3">
      <w:pPr>
        <w:spacing w:line="480" w:lineRule="auto"/>
        <w:ind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Las infracciones contra personas menores de 14 años y contra aquellas que están en riesgo debido a su edad, etnia, discapacidad física, mental o sensorial, trabajo o comercio son motivos de agravación penal, según el Artículo 211. Similar a la primera instancia, esta.</w:t>
      </w:r>
    </w:p>
    <w:p w14:paraId="25EBFE1A" w14:textId="77777777" w:rsidR="00E74D4A" w:rsidRDefault="00E74D4A" w:rsidP="00B939F3">
      <w:pPr>
        <w:spacing w:line="480" w:lineRule="auto"/>
        <w:ind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Es importante enfatizar que los artículos deben ser examinados dentro de los marcos de la victimología y la teoría criminal. Así es como el Artículo 212 del Código mencionado define el acceso carnal:</w:t>
      </w:r>
    </w:p>
    <w:p w14:paraId="14F95BC5" w14:textId="32BCA358" w:rsidR="00E74D4A" w:rsidRPr="00E74D4A" w:rsidRDefault="00E74D4A" w:rsidP="00B939F3">
      <w:pPr>
        <w:spacing w:line="480" w:lineRule="auto"/>
        <w:ind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 xml:space="preserve"> "</w:t>
      </w:r>
      <w:r w:rsidR="004C617C">
        <w:rPr>
          <w:rFonts w:ascii="Times New Roman" w:eastAsia="Times New Roman" w:hAnsi="Times New Roman" w:cs="Times New Roman"/>
          <w:sz w:val="24"/>
          <w:szCs w:val="24"/>
        </w:rPr>
        <w:t>L</w:t>
      </w:r>
      <w:r w:rsidRPr="00E74D4A">
        <w:rPr>
          <w:rFonts w:ascii="Times New Roman" w:eastAsia="Times New Roman" w:hAnsi="Times New Roman" w:cs="Times New Roman"/>
          <w:sz w:val="24"/>
          <w:szCs w:val="24"/>
        </w:rPr>
        <w:t>a penetración anal, vaginal o bucal del miembro viril, así como la penetración anal o vaginal de cualquier otra parte del cuerpo humano o cualquier otro objeto, a los fines de las conductas mencionadas en los capítulos anteriores”. (Código Penal 2000).</w:t>
      </w:r>
    </w:p>
    <w:p w14:paraId="40E913B2" w14:textId="77777777" w:rsidR="00E74D4A" w:rsidRDefault="00E74D4A" w:rsidP="00B939F3">
      <w:pPr>
        <w:spacing w:line="480" w:lineRule="auto"/>
        <w:ind w:firstLine="709"/>
        <w:rPr>
          <w:rFonts w:ascii="Times New Roman" w:eastAsia="Times New Roman" w:hAnsi="Times New Roman" w:cs="Times New Roman"/>
          <w:sz w:val="24"/>
          <w:szCs w:val="24"/>
        </w:rPr>
      </w:pPr>
      <w:r w:rsidRPr="00E74D4A">
        <w:rPr>
          <w:rFonts w:ascii="Times New Roman" w:eastAsia="Times New Roman" w:hAnsi="Times New Roman" w:cs="Times New Roman"/>
          <w:sz w:val="24"/>
          <w:szCs w:val="24"/>
        </w:rPr>
        <w:t>Las definiciones penales mencionadas muestran cómo, a pesar de que actualmente respalda el derecho del individuo a la autodefensa en la medida en que valora mucho la participación de la víctima en la comisión del acto, el sistema legal colombiano no se aparta del sistema penal descrito en el Código Penal de 1980.</w:t>
      </w:r>
    </w:p>
    <w:p w14:paraId="3094A89B" w14:textId="77777777" w:rsidR="00D77F93" w:rsidRPr="00D77F93" w:rsidRDefault="00D77F93" w:rsidP="00D77F93">
      <w:pPr>
        <w:spacing w:line="360" w:lineRule="auto"/>
        <w:ind w:firstLine="708"/>
        <w:jc w:val="both"/>
        <w:rPr>
          <w:rFonts w:ascii="Times New Roman" w:eastAsia="Times New Roman" w:hAnsi="Times New Roman" w:cs="Times New Roman"/>
          <w:sz w:val="24"/>
          <w:szCs w:val="24"/>
        </w:rPr>
      </w:pPr>
    </w:p>
    <w:p w14:paraId="03DEB5EC" w14:textId="1DC59934" w:rsidR="0063426E" w:rsidRDefault="00961B76" w:rsidP="008D19D2">
      <w:pPr>
        <w:pStyle w:val="Ttulo1"/>
        <w:numPr>
          <w:ilvl w:val="1"/>
          <w:numId w:val="5"/>
        </w:num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8" w:name="_Toc134376634"/>
      <w:r w:rsidR="006B2674">
        <w:rPr>
          <w:rFonts w:ascii="Times New Roman" w:eastAsia="Times New Roman" w:hAnsi="Times New Roman" w:cs="Times New Roman"/>
          <w:b/>
          <w:color w:val="000000"/>
          <w:sz w:val="24"/>
          <w:szCs w:val="24"/>
        </w:rPr>
        <w:t>Contexto de las incidencias de las sanciones penales</w:t>
      </w:r>
      <w:bookmarkEnd w:id="8"/>
      <w:r w:rsidR="006B2674">
        <w:rPr>
          <w:rFonts w:ascii="Times New Roman" w:eastAsia="Times New Roman" w:hAnsi="Times New Roman" w:cs="Times New Roman"/>
          <w:b/>
          <w:color w:val="000000"/>
          <w:sz w:val="24"/>
          <w:szCs w:val="24"/>
        </w:rPr>
        <w:t xml:space="preserve"> </w:t>
      </w:r>
    </w:p>
    <w:p w14:paraId="4C1FFC8B" w14:textId="77777777" w:rsidR="00487DE8" w:rsidRPr="00487DE8" w:rsidRDefault="00487DE8" w:rsidP="00487DE8">
      <w:pPr>
        <w:rPr>
          <w:lang w:val="es-MX" w:eastAsia="es-MX"/>
        </w:rPr>
      </w:pPr>
    </w:p>
    <w:p w14:paraId="75A3C0E8" w14:textId="44399B72" w:rsidR="006775D9" w:rsidRPr="006775D9" w:rsidRDefault="006775D9" w:rsidP="00B939F3">
      <w:pPr>
        <w:spacing w:line="480" w:lineRule="auto"/>
        <w:ind w:firstLine="709"/>
        <w:rPr>
          <w:rFonts w:ascii="Times New Roman" w:eastAsia="Times New Roman" w:hAnsi="Times New Roman" w:cs="Times New Roman"/>
          <w:sz w:val="24"/>
          <w:szCs w:val="24"/>
        </w:rPr>
      </w:pPr>
      <w:r w:rsidRPr="006775D9">
        <w:rPr>
          <w:rFonts w:ascii="Times New Roman" w:eastAsia="Times New Roman" w:hAnsi="Times New Roman" w:cs="Times New Roman"/>
          <w:sz w:val="24"/>
          <w:szCs w:val="24"/>
        </w:rPr>
        <w:lastRenderedPageBreak/>
        <w:t>Los roles de las sanciones deben ser especificados dentro del marco de la investigación, además de ser enfatizados en el contexto del trabajo actual. Primero, la sanción en este caso busca determinar si los delitos penales en general son efectivos para disuadir a un sujeto de involucrarse en tales comportamientos, así como si el encarcelamiento puede prevenir que alguien que cumple una condena por un delito sexual contra menores reincida en tales comportamientos. Debido a esto, permitir que la conducta ilegal continúe resulta en la imposición de una penalidad, la cual debería desalentar el comportamiento criminal adicional.</w:t>
      </w:r>
    </w:p>
    <w:p w14:paraId="13370E24" w14:textId="710D3F26" w:rsidR="006775D9" w:rsidRPr="006775D9" w:rsidRDefault="006775D9" w:rsidP="00B939F3">
      <w:pPr>
        <w:spacing w:line="480" w:lineRule="auto"/>
        <w:ind w:firstLine="709"/>
        <w:rPr>
          <w:rFonts w:ascii="Times New Roman" w:eastAsia="Times New Roman" w:hAnsi="Times New Roman" w:cs="Times New Roman"/>
          <w:sz w:val="24"/>
          <w:szCs w:val="24"/>
        </w:rPr>
      </w:pPr>
      <w:r w:rsidRPr="006775D9">
        <w:rPr>
          <w:rFonts w:ascii="Times New Roman" w:eastAsia="Times New Roman" w:hAnsi="Times New Roman" w:cs="Times New Roman"/>
          <w:sz w:val="24"/>
          <w:szCs w:val="24"/>
        </w:rPr>
        <w:t>La importancia de esta sección está destinada a llamar la atención sobre la necesidad de sanciones que realmente corrijan a las personas cuyo tipo delictivo y a menudo psicológico no puede ser abordado simplemente endureciendo las sentencias o penalidades por ciertas acciones. Este tipo de medidas son las primeras en ser descartadas desde el punto de vista de la política criminal, ya que son insuficientes desde una perspectiva criminológica.</w:t>
      </w:r>
    </w:p>
    <w:p w14:paraId="42263C44" w14:textId="77777777" w:rsidR="006775D9" w:rsidRPr="006775D9" w:rsidRDefault="006775D9" w:rsidP="00B939F3">
      <w:pPr>
        <w:spacing w:line="480" w:lineRule="auto"/>
        <w:ind w:left="851" w:firstLine="709"/>
        <w:rPr>
          <w:rFonts w:ascii="Times New Roman" w:eastAsia="Times New Roman" w:hAnsi="Times New Roman" w:cs="Times New Roman"/>
          <w:sz w:val="24"/>
          <w:szCs w:val="24"/>
        </w:rPr>
      </w:pPr>
      <w:r w:rsidRPr="006775D9">
        <w:rPr>
          <w:rFonts w:ascii="Times New Roman" w:eastAsia="Times New Roman" w:hAnsi="Times New Roman" w:cs="Times New Roman"/>
          <w:sz w:val="24"/>
          <w:szCs w:val="24"/>
        </w:rPr>
        <w:t>Para determinar si la resocialización efectiva del individuo condenado es el objetivo principal de toda sanción, es necesario entender la estructura carcelaria y penal en el contexto del tratamiento de los prisioneros en el esfuerzo por lograr su resocialización. Cabe señalar que, según el 70% de las investigaciones realizadas por el INPEC, esta premisa y propósito se están cumpliendo en el sistema penitenciario nacional. Los datos muestran que el 40% de los reclusos ya habían cumplido sus condenas y a menudo están detenidos en cárceles, lo que arroja luz sobre el problema. (Oficina en Colombia del Alto Comisionado de Naciones Unidas y defensoría, 2010).</w:t>
      </w:r>
    </w:p>
    <w:p w14:paraId="4FE2D797" w14:textId="77777777" w:rsidR="006775D9" w:rsidRPr="006775D9" w:rsidRDefault="006775D9" w:rsidP="00B939F3">
      <w:pPr>
        <w:spacing w:line="480" w:lineRule="auto"/>
        <w:ind w:firstLine="708"/>
        <w:rPr>
          <w:rFonts w:ascii="Times New Roman" w:eastAsia="Times New Roman" w:hAnsi="Times New Roman" w:cs="Times New Roman"/>
          <w:sz w:val="24"/>
          <w:szCs w:val="24"/>
        </w:rPr>
      </w:pPr>
      <w:r w:rsidRPr="006775D9">
        <w:rPr>
          <w:rFonts w:ascii="Times New Roman" w:eastAsia="Times New Roman" w:hAnsi="Times New Roman" w:cs="Times New Roman"/>
          <w:sz w:val="24"/>
          <w:szCs w:val="24"/>
        </w:rPr>
        <w:t xml:space="preserve">La función de la sanción es fundamentalmente inapropiada para los objetivos del Estado de prevenir el delito, ya que la misma investigación psicológica, psiquiátrica y </w:t>
      </w:r>
      <w:r w:rsidRPr="006775D9">
        <w:rPr>
          <w:rFonts w:ascii="Times New Roman" w:eastAsia="Times New Roman" w:hAnsi="Times New Roman" w:cs="Times New Roman"/>
          <w:sz w:val="24"/>
          <w:szCs w:val="24"/>
        </w:rPr>
        <w:lastRenderedPageBreak/>
        <w:t>criminológica demuestra que el tratamiento de resocialización es imposible sin una apertura hacia la vida social más allá de los muros de la prisión. Así es como la terapia individualizada se transforma en atención basada en la comunidad.</w:t>
      </w:r>
    </w:p>
    <w:p w14:paraId="4C75A25B" w14:textId="77777777" w:rsidR="006775D9" w:rsidRPr="006775D9" w:rsidRDefault="006775D9" w:rsidP="00B939F3">
      <w:pPr>
        <w:spacing w:line="480" w:lineRule="auto"/>
        <w:ind w:firstLine="708"/>
        <w:rPr>
          <w:rFonts w:ascii="Times New Roman" w:eastAsia="Times New Roman" w:hAnsi="Times New Roman" w:cs="Times New Roman"/>
          <w:sz w:val="24"/>
          <w:szCs w:val="24"/>
        </w:rPr>
      </w:pPr>
      <w:r w:rsidRPr="006775D9">
        <w:rPr>
          <w:rFonts w:ascii="Times New Roman" w:eastAsia="Times New Roman" w:hAnsi="Times New Roman" w:cs="Times New Roman"/>
          <w:sz w:val="24"/>
          <w:szCs w:val="24"/>
        </w:rPr>
        <w:t>Dado que el aislamiento y la segregación son perjudiciales para la terapia, no se puede decir que usarlos para confinar a alguien evitaría que cambien su comportamiento a corto o largo plazo. Como resultado, aunque la sanción tiene un lugar justificable en nuestro sistema legal, como demostraremos a continuación, sus objetivos declarados no se aplican en el caso de la resocialización.</w:t>
      </w:r>
    </w:p>
    <w:p w14:paraId="18832A59" w14:textId="77777777" w:rsidR="006775D9" w:rsidRDefault="006775D9" w:rsidP="00B939F3">
      <w:pPr>
        <w:spacing w:line="480" w:lineRule="auto"/>
        <w:ind w:firstLine="708"/>
        <w:rPr>
          <w:rFonts w:ascii="Times New Roman" w:eastAsia="Times New Roman" w:hAnsi="Times New Roman" w:cs="Times New Roman"/>
          <w:sz w:val="24"/>
          <w:szCs w:val="24"/>
        </w:rPr>
      </w:pPr>
      <w:r w:rsidRPr="006775D9">
        <w:rPr>
          <w:rFonts w:ascii="Times New Roman" w:eastAsia="Times New Roman" w:hAnsi="Times New Roman" w:cs="Times New Roman"/>
          <w:sz w:val="24"/>
          <w:szCs w:val="24"/>
        </w:rPr>
        <w:t>Como resultado, incluso mientras el objetivo de la sanción en relación con las actividades revisadas es compatible con la protección del bien jurídico protegido, no contribuye a la restitución de la víctima y tiene poco impacto en la prevención de que un reincidente cometa nuevos delitos. Ayuda poco con la restitución de la víctima y aún menos para prevenir la eventual comisión de nuevos delitos por un delincuente habitual de las leyes penales en el caso de los delitos sexuales, donde la tipología del delincuente está marcada por una serie de factores que impiden su resocialización a corto plazo y con medidas tan básicas e ineficaces como el confinamiento o el aislamiento de la sociedad en la que tarde o temprano tendrá que vivir.</w:t>
      </w:r>
    </w:p>
    <w:p w14:paraId="42BAB04A" w14:textId="243C93BC" w:rsidR="00505651" w:rsidRPr="00A913EB" w:rsidRDefault="00505651" w:rsidP="00B939F3">
      <w:pPr>
        <w:pStyle w:val="Ttulo1"/>
        <w:numPr>
          <w:ilvl w:val="1"/>
          <w:numId w:val="5"/>
        </w:numPr>
        <w:spacing w:line="480" w:lineRule="auto"/>
        <w:rPr>
          <w:rFonts w:ascii="Times New Roman" w:eastAsia="Times New Roman" w:hAnsi="Times New Roman" w:cs="Times New Roman"/>
          <w:b/>
          <w:color w:val="000000"/>
          <w:sz w:val="24"/>
          <w:szCs w:val="24"/>
        </w:rPr>
      </w:pPr>
      <w:bookmarkStart w:id="9" w:name="_Toc134376635"/>
      <w:r w:rsidRPr="00A913EB">
        <w:rPr>
          <w:rFonts w:ascii="Times New Roman" w:eastAsia="Times New Roman" w:hAnsi="Times New Roman" w:cs="Times New Roman"/>
          <w:b/>
          <w:color w:val="000000"/>
          <w:sz w:val="24"/>
          <w:szCs w:val="24"/>
        </w:rPr>
        <w:t>Bloque de constitucionalidad y los derechos de niños, niñas y adolescentes en materia de violencias sexuales</w:t>
      </w:r>
      <w:bookmarkEnd w:id="9"/>
    </w:p>
    <w:p w14:paraId="2F8B7C4D" w14:textId="77777777" w:rsidR="00EC7EC3" w:rsidRPr="00EC7EC3" w:rsidRDefault="00EC7EC3"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 xml:space="preserve">El conjunto de normas de constitucionalidad se comprende como las reglas y principios que, aunque no se encuentren textualmente en los artículos de la Constitución, se utilizan como parámetros para el control de la constitucionalidad de </w:t>
      </w:r>
      <w:r w:rsidRPr="00EC7EC3">
        <w:rPr>
          <w:rFonts w:ascii="Times New Roman" w:eastAsia="Times New Roman" w:hAnsi="Times New Roman" w:cs="Times New Roman"/>
          <w:color w:val="000000"/>
          <w:sz w:val="24"/>
          <w:szCs w:val="24"/>
        </w:rPr>
        <w:lastRenderedPageBreak/>
        <w:t>las leyes, ya que se han integrado normativamente en la Constitución, por diversos medios y por mandato de la propia Constitución (Sentencia No. C-225/95, 1995).</w:t>
      </w:r>
    </w:p>
    <w:p w14:paraId="152C5A89" w14:textId="56848A09" w:rsidR="00EC7EC3" w:rsidRPr="00EC7EC3" w:rsidRDefault="00EC7EC3"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Los principales artículos constitucionales que establecen las condiciones para la adopción de normas internacionales son 9, 53, 93, 94, 101, 102 y 214. A su vez, los tratados internacionales de derechos humanos que protegen los derechos fundamentales de los niños forman parte del conjunto de normas de constitucionalidad</w:t>
      </w:r>
      <w:r>
        <w:rPr>
          <w:rFonts w:ascii="Times New Roman" w:eastAsia="Times New Roman" w:hAnsi="Times New Roman" w:cs="Times New Roman"/>
          <w:color w:val="000000"/>
          <w:sz w:val="24"/>
          <w:szCs w:val="24"/>
        </w:rPr>
        <w:t>.</w:t>
      </w:r>
      <w:r w:rsidRPr="00EC7EC3">
        <w:rPr>
          <w:rFonts w:ascii="Times New Roman" w:eastAsia="Times New Roman" w:hAnsi="Times New Roman" w:cs="Times New Roman"/>
          <w:color w:val="000000"/>
          <w:sz w:val="24"/>
          <w:szCs w:val="24"/>
        </w:rPr>
        <w:t xml:space="preserve"> (Sentencia C-1068-03, 2003).</w:t>
      </w:r>
    </w:p>
    <w:p w14:paraId="6A576E3C" w14:textId="08682F9F"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Entre los tratados se encuentran la Convención sobre los Derechos del Niño, el Protocolo Facultativo de la Convención sobre los Derechos del Niño sobre la venta de niños, la prostitución y la pornografía infantiles y la Convención Interamericana sobre Tráfico Internacional de Menores. La Convención sobre los Derechos del Niño contiene varios artículos relevantes. Entre ellos se encuentran 16, 19, 34, 37 y 39.</w:t>
      </w:r>
    </w:p>
    <w:p w14:paraId="52295AB7" w14:textId="65299C90"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Artículo 16</w:t>
      </w:r>
    </w:p>
    <w:p w14:paraId="1789FF24" w14:textId="77777777" w:rsidR="00EC7EC3" w:rsidRPr="00EC7EC3" w:rsidRDefault="00EC7EC3"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“Ningún niño será sometido a interferencias arbitrarias o ilegales en su privacidad, familia, hogar o correspondencia, ni a ataques ilegales a su honor y reputación. El niño tiene derecho a la protección de la ley contra tales interferencias o ataques”. (Convención sobre los Derechos del Niño, 1989).</w:t>
      </w:r>
    </w:p>
    <w:p w14:paraId="240DC7B2" w14:textId="7A0AB3AC"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 xml:space="preserve">El artículo anterior se transcribió </w:t>
      </w:r>
      <w:r>
        <w:rPr>
          <w:rFonts w:ascii="Times New Roman" w:eastAsia="Times New Roman" w:hAnsi="Times New Roman" w:cs="Times New Roman"/>
          <w:color w:val="000000"/>
          <w:sz w:val="24"/>
          <w:szCs w:val="24"/>
        </w:rPr>
        <w:t xml:space="preserve">por cuanto </w:t>
      </w:r>
      <w:r w:rsidRPr="00EC7EC3">
        <w:rPr>
          <w:rFonts w:ascii="Times New Roman" w:eastAsia="Times New Roman" w:hAnsi="Times New Roman" w:cs="Times New Roman"/>
          <w:color w:val="000000"/>
          <w:sz w:val="24"/>
          <w:szCs w:val="24"/>
        </w:rPr>
        <w:t>establece en general el derecho del niño a ser protegido por la ley</w:t>
      </w:r>
      <w:r>
        <w:rPr>
          <w:rFonts w:ascii="Times New Roman" w:eastAsia="Times New Roman" w:hAnsi="Times New Roman" w:cs="Times New Roman"/>
          <w:color w:val="000000"/>
          <w:sz w:val="24"/>
          <w:szCs w:val="24"/>
        </w:rPr>
        <w:t>, l</w:t>
      </w:r>
      <w:r w:rsidRPr="00EC7EC3">
        <w:rPr>
          <w:rFonts w:ascii="Times New Roman" w:eastAsia="Times New Roman" w:hAnsi="Times New Roman" w:cs="Times New Roman"/>
          <w:color w:val="000000"/>
          <w:sz w:val="24"/>
          <w:szCs w:val="24"/>
        </w:rPr>
        <w:t xml:space="preserve">a libertad, la autodeterminación y la autorregulación sexual de los niños son derechos que necesitan ser protegidos a través de normas, políticas, programas, </w:t>
      </w:r>
      <w:r w:rsidRPr="00EC7EC3">
        <w:rPr>
          <w:rFonts w:ascii="Times New Roman" w:eastAsia="Times New Roman" w:hAnsi="Times New Roman" w:cs="Times New Roman"/>
          <w:color w:val="000000"/>
          <w:sz w:val="24"/>
          <w:szCs w:val="24"/>
        </w:rPr>
        <w:lastRenderedPageBreak/>
        <w:t>estrategias y la aplicación eficiente y efectiva de la ley. El otro artículo regula la adopción de medidas para la protección de delitos y acciones contra menores.</w:t>
      </w:r>
    </w:p>
    <w:p w14:paraId="3FB2B34F" w14:textId="77777777"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p>
    <w:p w14:paraId="4595A7A7" w14:textId="77777777"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Artículo 19</w:t>
      </w:r>
    </w:p>
    <w:p w14:paraId="194D9639" w14:textId="77777777" w:rsidR="00EC7EC3" w:rsidRPr="00EC7EC3" w:rsidRDefault="00EC7EC3"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Los Estados Parte tomarán todas las medidas legislativas, administrativas, sociales y educativas apropiadas para proteger al niño de todas las formas de violencia física o mental, lesiones o abusos, negligencia o tratamiento negligente, maltrato o explotación, incluido el abuso sexual, mientras esté bajo el cuidado de los padres, tutor(es) legal(es) o cualquier otra persona que tenga el cuidado del niño. (Convención sobre los Derechos del Niño, 1989).</w:t>
      </w:r>
    </w:p>
    <w:p w14:paraId="2D09364F" w14:textId="4ACB18D5"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 xml:space="preserve">El artículo 19 establece la obligación de los miembros de proteger a los niños y adolescentes del abuso sexual a través de leyes, políticas públicas, establecimiento de protocolos y prevención de actos que violen los derechos de los menores. Los Estados </w:t>
      </w:r>
      <w:r>
        <w:rPr>
          <w:rFonts w:ascii="Times New Roman" w:eastAsia="Times New Roman" w:hAnsi="Times New Roman" w:cs="Times New Roman"/>
          <w:color w:val="000000"/>
          <w:sz w:val="24"/>
          <w:szCs w:val="24"/>
        </w:rPr>
        <w:t xml:space="preserve">miembros </w:t>
      </w:r>
      <w:r w:rsidRPr="00EC7EC3">
        <w:rPr>
          <w:rFonts w:ascii="Times New Roman" w:eastAsia="Times New Roman" w:hAnsi="Times New Roman" w:cs="Times New Roman"/>
          <w:color w:val="000000"/>
          <w:sz w:val="24"/>
          <w:szCs w:val="24"/>
        </w:rPr>
        <w:t>cumplen con su obligación cuando realizan investigaciones para legislar y generar normas que realmente contribuyan a reducir la incidencia de los delitos sexuales en general, y particularmente contra los menores. Sin embargo, otro aspecto fundamental es la educación sexual dirigida a la población y a los niños.</w:t>
      </w:r>
    </w:p>
    <w:p w14:paraId="55755222" w14:textId="77777777" w:rsidR="00EC7EC3" w:rsidRP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El artículo 34 describe más específicamente qué conductas ilícitas deben prevenir los Estados Parte en relación con el abuso sexual. Por tanto, los Estados Parte se comprometen a proteger al niño de todas las formas de explotación y abuso sexuales. Para ello, tomarán, en particular, todas las medidas nacionales, bilaterales y multilaterales apropiadas para prevenir:</w:t>
      </w:r>
    </w:p>
    <w:p w14:paraId="10DCCF9A" w14:textId="77777777" w:rsidR="00EC7EC3" w:rsidRPr="00EC7EC3" w:rsidRDefault="00EC7EC3"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lastRenderedPageBreak/>
        <w:t>A) La inducción o coacción de un niño a participar en cualquier actividad sexual ilícita; La explotación del niño en la prostitución o en otras prácticas sexuales ilícitas;</w:t>
      </w:r>
    </w:p>
    <w:p w14:paraId="0214F3FB" w14:textId="77777777" w:rsidR="00EC7EC3" w:rsidRPr="00EC7EC3" w:rsidRDefault="00EC7EC3"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B) La explotación del niño en representaciones o materiales pornográficos. (Convención sobre los Derechos del Niño, 1989).</w:t>
      </w:r>
    </w:p>
    <w:p w14:paraId="1F9BA547" w14:textId="77777777" w:rsidR="00EC7EC3" w:rsidRDefault="00EC7EC3"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EC7EC3">
        <w:rPr>
          <w:rFonts w:ascii="Times New Roman" w:eastAsia="Times New Roman" w:hAnsi="Times New Roman" w:cs="Times New Roman"/>
          <w:color w:val="000000"/>
          <w:sz w:val="24"/>
          <w:szCs w:val="24"/>
        </w:rPr>
        <w:t>Aunque es cierto que la violación puede ser considerada como un acto ilícito que no forma parte de las conductas descritas en el artículo 34, a veces es el comienzo de otras formas de abuso sexual o una extensión de este. Por otro lado, el Artículo 37 establece los derechos de un menor de 18 años en caso de ser investigado por la comisión de un delito.</w:t>
      </w:r>
    </w:p>
    <w:p w14:paraId="6FA0D998" w14:textId="77777777" w:rsidR="00127D8E" w:rsidRP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Los privilegios de los niños y jóvenes están detallados en la Constitución Política de Colombia (NNA), instaurada en 1991.</w:t>
      </w:r>
    </w:p>
    <w:p w14:paraId="0FA1F58A" w14:textId="7B26543A" w:rsidR="00127D8E" w:rsidRPr="00127D8E" w:rsidRDefault="00127D8E" w:rsidP="00B939F3">
      <w:pPr>
        <w:pBdr>
          <w:top w:val="nil"/>
          <w:left w:val="nil"/>
          <w:bottom w:val="nil"/>
          <w:right w:val="nil"/>
          <w:between w:val="nil"/>
        </w:pBdr>
        <w:spacing w:before="240" w:after="240" w:line="480" w:lineRule="auto"/>
        <w:ind w:left="851" w:firstLine="720"/>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Se les garantizan los siguientes derechos fundamentales: el derecho a la existencia, integridad física, bienestar, y seguridad social; el derecho a una alimentación equilibrada; el derecho a su identidad y nacionalidad; el derecho a pertenecer a una familia y no ser separados de ella; el derecho a cuidado y afecto; el derecho a la educación y cultura; el derecho al ocio; y el derecho a la libre expresión. Deben estar resguardados de cualquier maltrato, incluyendo abuso físico, agresión sexual, secuestro, y explotación laboral o económica. Adicionalmente, de acuerdo con la constitución de Colombia, leyes, y tratados internacionales firmados, también tienen derecho a todos los demás derechos</w:t>
      </w:r>
      <w:r w:rsidR="00DD49EE">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 xml:space="preserve"> (Constitución Política de Colombia, 1991).</w:t>
      </w:r>
    </w:p>
    <w:p w14:paraId="0D8F6E07" w14:textId="07A953C5" w:rsidR="00127D8E" w:rsidRPr="00127D8E" w:rsidRDefault="00127D8E"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lastRenderedPageBreak/>
        <w:t>El Código de la Infancia y la Adolescencia también detalla una serie de otros derechos que se aplican a los niños y adolescentes. El derecho a la propia integridad, la preeminencia de otros derechos, y el derecho al mejor interés de los menores son tres de ellos. La Declaración Universal de Derechos Humanos establece en el artículo 8 que "el mejor interés del niño y del adolescente se entiende como el imperativo que obliga a todas las personas a garantizar la satisfacción integral y simultánea de todos sus derechos humanos, que son universales, prevalentes e interdependientes." (Ley 1098, 2006).</w:t>
      </w:r>
    </w:p>
    <w:p w14:paraId="527CC4C7" w14:textId="77777777" w:rsidR="00127D8E" w:rsidRP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La preponderancia de los derechos está regida por el Artículo 9 ibídem.</w:t>
      </w:r>
    </w:p>
    <w:p w14:paraId="1795F604" w14:textId="7ABE130C" w:rsidR="00127D8E" w:rsidRPr="00127D8E" w:rsidRDefault="00127D8E"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Los derechos de los niños y adolescentes tendrán prioridad en cada acto, decisión, acción administrativa, judicial, u otra acción relevante para ellos, particularmente si hay un desacuerdo entre sus derechos fundamentales y los de cualquier otra persona</w:t>
      </w:r>
      <w:r w:rsidR="00DD49EE">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 xml:space="preserve"> (Ley 1098, 2006).</w:t>
      </w:r>
    </w:p>
    <w:p w14:paraId="2CA969A5" w14:textId="7256D153" w:rsidR="00127D8E" w:rsidRP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Las leyes internacionales que rigen la infancia y la adolescencia tienen como objetivo principal asegurar que los niños y adolescentes tengan una protección integral de sus derechos, particularmente contra el abuso sexual y la prostitución infantil. Estos derechos están codificados tanto en la Constitución Política de Colombia de 1991 como en su Código de la Infancia y la Adolescencia.</w:t>
      </w:r>
    </w:p>
    <w:p w14:paraId="7A46A78B" w14:textId="77777777" w:rsidR="00127D8E" w:rsidRP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El derecho a la integridad personal está protegido bajo el Artículo 18 del Código sobre Niños y Adolescentes.</w:t>
      </w:r>
    </w:p>
    <w:p w14:paraId="03968014" w14:textId="5E20F040" w:rsidR="00127D8E" w:rsidRPr="00127D8E" w:rsidRDefault="00127D8E" w:rsidP="00B939F3">
      <w:pPr>
        <w:pBdr>
          <w:top w:val="nil"/>
          <w:left w:val="nil"/>
          <w:bottom w:val="nil"/>
          <w:right w:val="nil"/>
          <w:between w:val="nil"/>
        </w:pBdr>
        <w:spacing w:before="240" w:after="240" w:line="480" w:lineRule="auto"/>
        <w:ind w:left="851" w:firstLine="709"/>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lastRenderedPageBreak/>
        <w:t xml:space="preserve">Los niños y adolescentes tienen el derecho a ser protegidos de cualquier acción o comportamiento físico, sexual, o psicológico que resulte en sufrimiento, lesión, o muerte. Tienen derecho a la protección contra el maltrato y abuso de cualquier tipo por parte de sus padres, tutores, cuidadores, familiares, compañeros de clase, y organizaciones comunitarias, </w:t>
      </w:r>
      <w:r>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Ley 1098 de 2006</w:t>
      </w:r>
      <w:r>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w:t>
      </w:r>
    </w:p>
    <w:p w14:paraId="3FBC270E" w14:textId="77777777" w:rsidR="00127D8E" w:rsidRP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Los niños y adolescentes que han infringido la ley tienen derecho a la rehabilitación y resocialización, como se establece en el Artículo 19. El título del artículo hace referencia al hecho de que a veces, los adolescentes entre las edades de 15 y 17 están siendo investigados por delitos sexuales cometidos contra menores de 14 años.</w:t>
      </w:r>
    </w:p>
    <w:p w14:paraId="4F4FD05B" w14:textId="42F5364C" w:rsid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Protección de derechos</w:t>
      </w:r>
    </w:p>
    <w:p w14:paraId="783D0A52" w14:textId="5430E1E4" w:rsidR="00127D8E" w:rsidRDefault="00127D8E" w:rsidP="00B939F3">
      <w:pPr>
        <w:pBdr>
          <w:top w:val="nil"/>
          <w:left w:val="nil"/>
          <w:bottom w:val="nil"/>
          <w:right w:val="nil"/>
          <w:between w:val="nil"/>
        </w:pBdr>
        <w:spacing w:before="240" w:after="240" w:line="480" w:lineRule="auto"/>
        <w:ind w:firstLine="708"/>
        <w:rPr>
          <w:rFonts w:ascii="Times New Roman" w:eastAsia="Times New Roman" w:hAnsi="Times New Roman" w:cs="Times New Roman"/>
          <w:color w:val="000000"/>
          <w:sz w:val="24"/>
          <w:szCs w:val="24"/>
        </w:rPr>
      </w:pPr>
      <w:r w:rsidRPr="00127D8E">
        <w:rPr>
          <w:rFonts w:ascii="Times New Roman" w:eastAsia="Times New Roman" w:hAnsi="Times New Roman" w:cs="Times New Roman"/>
          <w:color w:val="000000"/>
          <w:sz w:val="24"/>
          <w:szCs w:val="24"/>
        </w:rPr>
        <w:t>Artículo 20</w:t>
      </w:r>
      <w:bookmarkStart w:id="10" w:name="_Hlk135519638"/>
      <w:r>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 xml:space="preserve"> </w:t>
      </w:r>
      <w:bookmarkEnd w:id="10"/>
      <w:r>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Violación, explotación sexual, pornografía, y otras acciones que pongan en peligro la libertad sexual, integridad, o desarrollo de un niño o adolescente deben ser evitadas</w:t>
      </w:r>
      <w:r>
        <w:rPr>
          <w:rFonts w:ascii="Times New Roman" w:eastAsia="Times New Roman" w:hAnsi="Times New Roman" w:cs="Times New Roman"/>
          <w:color w:val="000000"/>
          <w:sz w:val="24"/>
          <w:szCs w:val="24"/>
        </w:rPr>
        <w:t>”</w:t>
      </w:r>
      <w:r w:rsidRPr="00127D8E">
        <w:rPr>
          <w:rFonts w:ascii="Times New Roman" w:eastAsia="Times New Roman" w:hAnsi="Times New Roman" w:cs="Times New Roman"/>
          <w:color w:val="000000"/>
          <w:sz w:val="24"/>
          <w:szCs w:val="24"/>
        </w:rPr>
        <w:t>.</w:t>
      </w:r>
      <w:r w:rsidRPr="00127D8E">
        <w:t xml:space="preserve"> </w:t>
      </w:r>
      <w:r w:rsidRPr="00127D8E">
        <w:rPr>
          <w:rFonts w:ascii="Times New Roman" w:eastAsia="Times New Roman" w:hAnsi="Times New Roman" w:cs="Times New Roman"/>
          <w:color w:val="000000"/>
          <w:sz w:val="24"/>
          <w:szCs w:val="24"/>
        </w:rPr>
        <w:t>(Ley 1098, 2006)</w:t>
      </w:r>
      <w:r>
        <w:rPr>
          <w:rFonts w:ascii="Times New Roman" w:eastAsia="Times New Roman" w:hAnsi="Times New Roman" w:cs="Times New Roman"/>
          <w:color w:val="000000"/>
          <w:sz w:val="24"/>
          <w:szCs w:val="24"/>
        </w:rPr>
        <w:t>.</w:t>
      </w:r>
    </w:p>
    <w:p w14:paraId="4CB72972" w14:textId="5864822B" w:rsidR="005E1097" w:rsidRPr="00D5722F" w:rsidRDefault="005E1097" w:rsidP="00B939F3">
      <w:pPr>
        <w:pStyle w:val="Ttulo1"/>
        <w:numPr>
          <w:ilvl w:val="1"/>
          <w:numId w:val="5"/>
        </w:numPr>
        <w:spacing w:line="480" w:lineRule="auto"/>
        <w:rPr>
          <w:rFonts w:ascii="Times New Roman" w:eastAsia="Times New Roman" w:hAnsi="Times New Roman" w:cs="Times New Roman"/>
          <w:b/>
          <w:bCs/>
          <w:color w:val="auto"/>
          <w:sz w:val="24"/>
          <w:szCs w:val="24"/>
        </w:rPr>
      </w:pPr>
      <w:bookmarkStart w:id="11" w:name="_Toc134376636"/>
      <w:r w:rsidRPr="00D5722F">
        <w:rPr>
          <w:rFonts w:ascii="Times New Roman" w:eastAsia="Times New Roman" w:hAnsi="Times New Roman" w:cs="Times New Roman"/>
          <w:b/>
          <w:bCs/>
          <w:color w:val="auto"/>
          <w:sz w:val="24"/>
          <w:szCs w:val="24"/>
        </w:rPr>
        <w:t>Antecedentes normativos</w:t>
      </w:r>
      <w:bookmarkEnd w:id="11"/>
      <w:r w:rsidRPr="00D5722F">
        <w:rPr>
          <w:rFonts w:ascii="Times New Roman" w:eastAsia="Times New Roman" w:hAnsi="Times New Roman" w:cs="Times New Roman"/>
          <w:b/>
          <w:bCs/>
          <w:color w:val="auto"/>
          <w:sz w:val="24"/>
          <w:szCs w:val="24"/>
        </w:rPr>
        <w:t xml:space="preserve"> </w:t>
      </w:r>
    </w:p>
    <w:p w14:paraId="52B13A22" w14:textId="77777777"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Por ejemplo, el Código Penal de 1980 extendió la pena máxima para delitos que involucran abuso sexual de menores de 12 años de 20 a 40 años. Posteriormente, la Ley 599 de 2000 eliminó el Código mencionado y redujo las regulaciones.</w:t>
      </w:r>
    </w:p>
    <w:p w14:paraId="74100F5A" w14:textId="77777777"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 xml:space="preserve">Se estipuló una pena de prisión de cuatro a ocho años en la redacción original del Artículo 208 de la Ley 599 por participar en contacto sexual abusivo con un niño menor de catorce años. (Carvajal, 2020) considera que “la Ley 1236, aprobada en 2008, endureció la pena por abusar sexualmente de menores. Posteriormente, la Ley 890 de 2004 extendió la </w:t>
      </w:r>
      <w:r w:rsidRPr="00A4795F">
        <w:rPr>
          <w:rFonts w:ascii="Times New Roman" w:eastAsia="Times New Roman" w:hAnsi="Times New Roman" w:cs="Times New Roman"/>
          <w:sz w:val="24"/>
          <w:szCs w:val="24"/>
        </w:rPr>
        <w:lastRenderedPageBreak/>
        <w:t>sentencia a 144 meses de prisión”. (p. 35). La última afirmación es precisa ya que el término de la sentencia se elevó de 12 a 20 años:</w:t>
      </w:r>
    </w:p>
    <w:p w14:paraId="2729EA34" w14:textId="77777777"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Mientras que las personas que realizan actividades sexuales en personas menores de 14 años o en su presencia, o que las obligan a hacerlo, podrían recibir una pena de prisión de tres a cinco años según el texto original del artículo 209 de la Constitución. La sentencia se elevó de 48 a 90 meses como resultado de la enmienda al Artículo 209 en la Ley 890 de 2004. La Ley 1236, aprobada en 2008, aumentó las penas a nueve a trece años de prisión.</w:t>
      </w:r>
    </w:p>
    <w:p w14:paraId="0E0AA622" w14:textId="77777777"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La Constitución Política de Colombia estableció las siguientes reglas con respecto a la cadena perpetua con la posibilidad de liberación en 2020:</w:t>
      </w:r>
    </w:p>
    <w:p w14:paraId="499426A4" w14:textId="77777777" w:rsidR="00A4795F" w:rsidRPr="00A4795F" w:rsidRDefault="00A4795F" w:rsidP="00B939F3">
      <w:pPr>
        <w:spacing w:before="240" w:after="240" w:line="480" w:lineRule="auto"/>
        <w:ind w:left="851" w:firstLine="709"/>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Se puede aplicar una sanción de hasta cadena perpetua en circunstancias excepcionales, como cuando un niño o adolescente es el objetivo de una muerte intencional, contacto carnal violento, o se le hace incapaz de resistir. Cualquier persona que cumpla una sentencia de cadena perpetua tiene derecho a apelar inmediatamente su decisión. En cualquier caso, al menos 25 años después de la condena, la sentencia debe ser revisada para ver si la persona condenada se ha resocializado efectivamente (Constitución Política de Colombia, 2020).</w:t>
      </w:r>
    </w:p>
    <w:p w14:paraId="539B3592" w14:textId="77777777"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“La Sentencia C-294 de 2021 encontró que el Acto Legislativo 01 de 2020, que deroga la prohibición de la cadena perpetua y establece la cadena perpetua revisable, es inválido”. (Corte Constitucional, 2021). La cadena perpetua revisable que se impuso por estos actos fue eliminada como consecuencia de la historia de esfuerzos para aprobar legislación para minimizar la incidencia de delitos sexuales contra menores que se hicieron públicos.</w:t>
      </w:r>
    </w:p>
    <w:p w14:paraId="046313A2" w14:textId="77777777"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lastRenderedPageBreak/>
        <w:t>El Acto Legislativo No. 01 de 2020, por otro lado, buscó abordar de manera diferente el castigo por delitos sexuales contra menores en Colombia. Solo muy raramente se instó a que una persona recibiera una cadena perpetua con todas las condiciones necesarias y elementos agravantes. No serían elegibles para libertad condicional u otros beneficios hasta que su sentencia fuera revisada por un tribunal de segunda instancia después de 25 años de cumplimiento.</w:t>
      </w:r>
    </w:p>
    <w:p w14:paraId="67F4EF69" w14:textId="07B66BE8" w:rsidR="00A4795F" w:rsidRPr="00A4795F" w:rsidRDefault="00A4795F" w:rsidP="00B939F3">
      <w:pPr>
        <w:spacing w:before="240" w:after="240" w:line="480" w:lineRule="auto"/>
        <w:ind w:firstLine="708"/>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 xml:space="preserve">Además, la ley cambió el Artículo 34 de la Constitución Política para hacer que los delitos sexuales contra niños sean imprescriptibles. </w:t>
      </w:r>
      <w:r>
        <w:rPr>
          <w:rFonts w:ascii="Times New Roman" w:eastAsia="Times New Roman" w:hAnsi="Times New Roman" w:cs="Times New Roman"/>
          <w:sz w:val="24"/>
          <w:szCs w:val="24"/>
        </w:rPr>
        <w:t xml:space="preserve">Seguidamente </w:t>
      </w:r>
      <w:r w:rsidRPr="00A4795F">
        <w:rPr>
          <w:rFonts w:ascii="Times New Roman" w:eastAsia="Times New Roman" w:hAnsi="Times New Roman" w:cs="Times New Roman"/>
          <w:sz w:val="24"/>
          <w:szCs w:val="24"/>
        </w:rPr>
        <w:t>de revisar el Artículo 31 y el Número 1 del Artículo 37 del Código Penal, señalando lo siguiente:</w:t>
      </w:r>
    </w:p>
    <w:p w14:paraId="3A918CE0" w14:textId="77777777" w:rsidR="00A4795F" w:rsidRPr="00A4795F" w:rsidRDefault="00A4795F" w:rsidP="00B939F3">
      <w:pPr>
        <w:spacing w:before="240" w:after="240" w:line="480" w:lineRule="auto"/>
        <w:ind w:left="851" w:firstLine="709"/>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“Con la excepción de los desafíos y las cadenas perpetuas con la posibilidad de liberación, la pena máxima para las categorías criminales es de 50 años de prisión. El Código Penal también gana los artículos 68B, 103A y 211ª”. (Cámara de Representantes, 2021).</w:t>
      </w:r>
    </w:p>
    <w:p w14:paraId="188739A6" w14:textId="77777777" w:rsidR="00A4795F" w:rsidRDefault="00A4795F" w:rsidP="00B939F3">
      <w:pPr>
        <w:spacing w:before="240" w:after="240" w:line="480" w:lineRule="auto"/>
        <w:ind w:left="851" w:firstLine="709"/>
        <w:rPr>
          <w:rFonts w:ascii="Times New Roman" w:eastAsia="Times New Roman" w:hAnsi="Times New Roman" w:cs="Times New Roman"/>
          <w:sz w:val="24"/>
          <w:szCs w:val="24"/>
        </w:rPr>
      </w:pPr>
      <w:r w:rsidRPr="00A4795F">
        <w:rPr>
          <w:rFonts w:ascii="Times New Roman" w:eastAsia="Times New Roman" w:hAnsi="Times New Roman" w:cs="Times New Roman"/>
          <w:sz w:val="24"/>
          <w:szCs w:val="24"/>
        </w:rPr>
        <w:t>Debido a que afectó un principio fundamental de la Carta, como el estado de derecho social y democrático basado en la dignidad humana, y como resultado, reemplazó la Constitución, el Congreso de la República violó su poder de reforma al agregar la pena de cadena perpetua revisable al Artículo 34 de la Constitución (Portafolio, 2021).</w:t>
      </w:r>
    </w:p>
    <w:p w14:paraId="5F4F15F3" w14:textId="79AAEEEF" w:rsidR="005E1097" w:rsidRPr="00BD29A6" w:rsidRDefault="005E1097" w:rsidP="00B939F3">
      <w:pPr>
        <w:pStyle w:val="Ttulo1"/>
        <w:numPr>
          <w:ilvl w:val="1"/>
          <w:numId w:val="5"/>
        </w:numPr>
        <w:spacing w:line="480" w:lineRule="auto"/>
        <w:rPr>
          <w:rFonts w:ascii="Times New Roman" w:eastAsia="Times New Roman" w:hAnsi="Times New Roman" w:cs="Times New Roman"/>
          <w:b/>
          <w:bCs/>
          <w:color w:val="auto"/>
          <w:sz w:val="24"/>
          <w:szCs w:val="24"/>
        </w:rPr>
      </w:pPr>
      <w:bookmarkStart w:id="12" w:name="_Toc134376637"/>
      <w:r w:rsidRPr="00BD29A6">
        <w:rPr>
          <w:rFonts w:ascii="Times New Roman" w:eastAsia="Times New Roman" w:hAnsi="Times New Roman" w:cs="Times New Roman"/>
          <w:b/>
          <w:bCs/>
          <w:color w:val="auto"/>
          <w:sz w:val="24"/>
          <w:szCs w:val="24"/>
        </w:rPr>
        <w:t>El bien jurídico tutelado de la libertad, integridad y formación sexuales</w:t>
      </w:r>
      <w:bookmarkEnd w:id="12"/>
    </w:p>
    <w:p w14:paraId="5367F6B9" w14:textId="77777777" w:rsidR="00667869" w:rsidRDefault="00667869" w:rsidP="00B939F3">
      <w:pPr>
        <w:spacing w:before="240" w:after="240" w:line="480" w:lineRule="auto"/>
        <w:ind w:firstLine="708"/>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t>Algunos autores e ideologías asocian la independencia personal con la liberación sexual</w:t>
      </w:r>
      <w:r>
        <w:rPr>
          <w:rFonts w:ascii="Times New Roman" w:eastAsia="Times New Roman" w:hAnsi="Times New Roman" w:cs="Times New Roman"/>
          <w:sz w:val="24"/>
          <w:szCs w:val="24"/>
        </w:rPr>
        <w:t xml:space="preserve">: </w:t>
      </w:r>
    </w:p>
    <w:p w14:paraId="20BAF0F6" w14:textId="072C8E9E" w:rsidR="00667869" w:rsidRPr="00667869" w:rsidRDefault="00667869" w:rsidP="00B939F3">
      <w:pPr>
        <w:spacing w:before="240" w:after="240" w:line="480" w:lineRule="auto"/>
        <w:ind w:left="851" w:firstLine="709"/>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lastRenderedPageBreak/>
        <w:t>Según su definición, cada individuo tiene el derecho de seguir sus deseos sexuales con la pareja y en los entornos de su elección, incluyendo el derecho a rechazar la participación en un escenario sexual incómodo y, más importante aún, la capacidad de defenderse de acusaciones de connotación lasciva.</w:t>
      </w:r>
      <w:r>
        <w:rPr>
          <w:rFonts w:ascii="Times New Roman" w:eastAsia="Times New Roman" w:hAnsi="Times New Roman" w:cs="Times New Roman"/>
          <w:sz w:val="24"/>
          <w:szCs w:val="24"/>
        </w:rPr>
        <w:t xml:space="preserve"> </w:t>
      </w:r>
      <w:r w:rsidRPr="00667869">
        <w:rPr>
          <w:rFonts w:ascii="Times New Roman" w:eastAsia="Times New Roman" w:hAnsi="Times New Roman" w:cs="Times New Roman"/>
          <w:sz w:val="24"/>
          <w:szCs w:val="24"/>
        </w:rPr>
        <w:t>(Campos</w:t>
      </w:r>
      <w:r>
        <w:rPr>
          <w:rFonts w:ascii="Times New Roman" w:eastAsia="Times New Roman" w:hAnsi="Times New Roman" w:cs="Times New Roman"/>
          <w:sz w:val="24"/>
          <w:szCs w:val="24"/>
        </w:rPr>
        <w:t>, 2019</w:t>
      </w:r>
      <w:r w:rsidRPr="00667869">
        <w:rPr>
          <w:rFonts w:ascii="Times New Roman" w:eastAsia="Times New Roman" w:hAnsi="Times New Roman" w:cs="Times New Roman"/>
          <w:sz w:val="24"/>
          <w:szCs w:val="24"/>
        </w:rPr>
        <w:t>).</w:t>
      </w:r>
    </w:p>
    <w:p w14:paraId="1EE0C07F" w14:textId="04C32420" w:rsidR="00667869" w:rsidRPr="00667869" w:rsidRDefault="00667869" w:rsidP="00B939F3">
      <w:pPr>
        <w:spacing w:before="240" w:after="240" w:line="480" w:lineRule="auto"/>
        <w:ind w:firstLine="708"/>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t>La libertad sexual se define de varias maneras, todas las cuales están relacionadas con la capacidad, habilidad y dignidad. También se cree que es la capacidad del ser humano para autodeterminar y autorregular su vida sexual, según (Pabón, 2000) citando a (D</w:t>
      </w:r>
      <w:r>
        <w:rPr>
          <w:rFonts w:ascii="Times New Roman" w:eastAsia="Times New Roman" w:hAnsi="Times New Roman" w:cs="Times New Roman"/>
          <w:sz w:val="24"/>
          <w:szCs w:val="24"/>
        </w:rPr>
        <w:t>í</w:t>
      </w:r>
      <w:r w:rsidRPr="00667869">
        <w:rPr>
          <w:rFonts w:ascii="Times New Roman" w:eastAsia="Times New Roman" w:hAnsi="Times New Roman" w:cs="Times New Roman"/>
          <w:sz w:val="24"/>
          <w:szCs w:val="24"/>
        </w:rPr>
        <w:t xml:space="preserve">az, 2020); </w:t>
      </w:r>
      <w:r>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está íntimamente ligada a los objetivos únicos de la sexualidad humana, así como a la noción de dignidad que naturalmente gravita hacia cada hombre</w:t>
      </w:r>
      <w:r>
        <w:rPr>
          <w:rFonts w:ascii="Times New Roman" w:eastAsia="Times New Roman" w:hAnsi="Times New Roman" w:cs="Times New Roman"/>
          <w:sz w:val="24"/>
          <w:szCs w:val="24"/>
        </w:rPr>
        <w:t>”.</w:t>
      </w:r>
    </w:p>
    <w:p w14:paraId="2F457B3D" w14:textId="3189298F" w:rsidR="00667869" w:rsidRPr="00667869" w:rsidRDefault="00667869"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Se considera que una disparidad de edad significativa es un factor que socava el consentimiento informado y es coerción en sí misma cuando se trata de la libertad sexual de los niños</w:t>
      </w:r>
      <w:r>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 xml:space="preserve"> (López, 1997 citando a (Deza, 2005).</w:t>
      </w:r>
    </w:p>
    <w:p w14:paraId="1795A85B" w14:textId="371F2EEE" w:rsidR="00667869" w:rsidRPr="00667869" w:rsidRDefault="00667869" w:rsidP="00B939F3">
      <w:pPr>
        <w:spacing w:before="240" w:after="240" w:line="480" w:lineRule="auto"/>
        <w:ind w:firstLine="708"/>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t>Los delitos a menudo se categorizan y están sujetos a varias formas de derecho penal dependiendo del bien jurídicamente protegido. Según (</w:t>
      </w:r>
      <w:proofErr w:type="spellStart"/>
      <w:r w:rsidRPr="00667869">
        <w:rPr>
          <w:rFonts w:ascii="Times New Roman" w:eastAsia="Times New Roman" w:hAnsi="Times New Roman" w:cs="Times New Roman"/>
          <w:sz w:val="24"/>
          <w:szCs w:val="24"/>
        </w:rPr>
        <w:t>Ma</w:t>
      </w:r>
      <w:r>
        <w:rPr>
          <w:rFonts w:ascii="Times New Roman" w:eastAsia="Times New Roman" w:hAnsi="Times New Roman" w:cs="Times New Roman"/>
          <w:sz w:val="24"/>
          <w:szCs w:val="24"/>
        </w:rPr>
        <w:t>ñ</w:t>
      </w:r>
      <w:r w:rsidRPr="00667869">
        <w:rPr>
          <w:rFonts w:ascii="Times New Roman" w:eastAsia="Times New Roman" w:hAnsi="Times New Roman" w:cs="Times New Roman"/>
          <w:sz w:val="24"/>
          <w:szCs w:val="24"/>
        </w:rPr>
        <w:t>alich</w:t>
      </w:r>
      <w:proofErr w:type="spellEnd"/>
      <w:r w:rsidRPr="00667869">
        <w:rPr>
          <w:rFonts w:ascii="Times New Roman" w:eastAsia="Times New Roman" w:hAnsi="Times New Roman" w:cs="Times New Roman"/>
          <w:sz w:val="24"/>
          <w:szCs w:val="24"/>
        </w:rPr>
        <w:t xml:space="preserve">, 2014), </w:t>
      </w:r>
      <w:r>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los delitos contra la libertad sexual son aquellos en los que la víctima tiene al menos 14 años</w:t>
      </w:r>
      <w:r>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 (p. 26).</w:t>
      </w:r>
    </w:p>
    <w:p w14:paraId="0095E6A9" w14:textId="77777777" w:rsidR="00667869" w:rsidRDefault="00667869" w:rsidP="00B939F3">
      <w:pPr>
        <w:spacing w:before="240" w:after="240" w:line="480" w:lineRule="auto"/>
        <w:ind w:left="708"/>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t>La libertad sexual y la integridad, según los autores (</w:t>
      </w:r>
      <w:proofErr w:type="spellStart"/>
      <w:r w:rsidRPr="00667869">
        <w:rPr>
          <w:rFonts w:ascii="Times New Roman" w:eastAsia="Times New Roman" w:hAnsi="Times New Roman" w:cs="Times New Roman"/>
          <w:sz w:val="24"/>
          <w:szCs w:val="24"/>
        </w:rPr>
        <w:t>Salamé</w:t>
      </w:r>
      <w:proofErr w:type="spellEnd"/>
      <w:r w:rsidRPr="00667869">
        <w:rPr>
          <w:rFonts w:ascii="Times New Roman" w:eastAsia="Times New Roman" w:hAnsi="Times New Roman" w:cs="Times New Roman"/>
          <w:sz w:val="24"/>
          <w:szCs w:val="24"/>
        </w:rPr>
        <w:t xml:space="preserve">, </w:t>
      </w:r>
      <w:proofErr w:type="spellStart"/>
      <w:r w:rsidRPr="00667869">
        <w:rPr>
          <w:rFonts w:ascii="Times New Roman" w:eastAsia="Times New Roman" w:hAnsi="Times New Roman" w:cs="Times New Roman"/>
          <w:sz w:val="24"/>
          <w:szCs w:val="24"/>
        </w:rPr>
        <w:t>Camandá</w:t>
      </w:r>
      <w:proofErr w:type="spellEnd"/>
      <w:r w:rsidRPr="00667869">
        <w:rPr>
          <w:rFonts w:ascii="Times New Roman" w:eastAsia="Times New Roman" w:hAnsi="Times New Roman" w:cs="Times New Roman"/>
          <w:sz w:val="24"/>
          <w:szCs w:val="24"/>
        </w:rPr>
        <w:t xml:space="preserve"> y Lucas, 2020)</w:t>
      </w:r>
      <w:r>
        <w:rPr>
          <w:rFonts w:ascii="Times New Roman" w:eastAsia="Times New Roman" w:hAnsi="Times New Roman" w:cs="Times New Roman"/>
          <w:sz w:val="24"/>
          <w:szCs w:val="24"/>
        </w:rPr>
        <w:t>:</w:t>
      </w:r>
    </w:p>
    <w:p w14:paraId="636872B0" w14:textId="0B122070" w:rsidR="00667869" w:rsidRPr="00667869" w:rsidRDefault="00667869" w:rsidP="00B939F3">
      <w:pPr>
        <w:spacing w:before="240" w:after="240" w:line="480" w:lineRule="auto"/>
        <w:ind w:left="85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67869">
        <w:rPr>
          <w:rFonts w:ascii="Times New Roman" w:eastAsia="Times New Roman" w:hAnsi="Times New Roman" w:cs="Times New Roman"/>
          <w:sz w:val="24"/>
          <w:szCs w:val="24"/>
        </w:rPr>
        <w:t>on ideas conectadas que destacan el derecho de una persona a la autodeterminación. Esto es particularmente cierto cuando se trata de la libertad para perseguir la propia sexualidad, que también se cuestiona cuando interfiere con la capacidad de un menor para formar relaciones con otros o desarrollar su personalidad.</w:t>
      </w:r>
      <w:r>
        <w:rPr>
          <w:rFonts w:ascii="Times New Roman" w:eastAsia="Times New Roman" w:hAnsi="Times New Roman" w:cs="Times New Roman"/>
          <w:sz w:val="24"/>
          <w:szCs w:val="24"/>
        </w:rPr>
        <w:t xml:space="preserve"> (p.135).</w:t>
      </w:r>
    </w:p>
    <w:p w14:paraId="3904BCA7" w14:textId="55F7E4B7" w:rsidR="00667869" w:rsidRPr="00667869" w:rsidRDefault="00667869" w:rsidP="00B939F3">
      <w:pPr>
        <w:spacing w:before="240" w:after="240" w:line="480" w:lineRule="auto"/>
        <w:ind w:firstLine="708"/>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lastRenderedPageBreak/>
        <w:t>(</w:t>
      </w:r>
      <w:proofErr w:type="spellStart"/>
      <w:r w:rsidRPr="00667869">
        <w:rPr>
          <w:rFonts w:ascii="Times New Roman" w:eastAsia="Times New Roman" w:hAnsi="Times New Roman" w:cs="Times New Roman"/>
          <w:sz w:val="24"/>
          <w:szCs w:val="24"/>
        </w:rPr>
        <w:t>Abrill</w:t>
      </w:r>
      <w:proofErr w:type="spellEnd"/>
      <w:r w:rsidRPr="00667869">
        <w:rPr>
          <w:rFonts w:ascii="Times New Roman" w:eastAsia="Times New Roman" w:hAnsi="Times New Roman" w:cs="Times New Roman"/>
          <w:sz w:val="24"/>
          <w:szCs w:val="24"/>
        </w:rPr>
        <w:t xml:space="preserve">, 2019) ofrece la siguiente explicación de la libertad sexual en este contexto: </w:t>
      </w:r>
      <w:r w:rsidR="009B7976">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la capacidad de cada individuo para participar en la actividad sexual como desee. el derecho a elegir libremente la pareja sexual, el ambiente, el tiempo y el lugar</w:t>
      </w:r>
      <w:r w:rsidR="009B7976">
        <w:rPr>
          <w:rFonts w:ascii="Times New Roman" w:eastAsia="Times New Roman" w:hAnsi="Times New Roman" w:cs="Times New Roman"/>
          <w:sz w:val="24"/>
          <w:szCs w:val="24"/>
        </w:rPr>
        <w:t>”</w:t>
      </w:r>
      <w:r w:rsidRPr="00667869">
        <w:rPr>
          <w:rFonts w:ascii="Times New Roman" w:eastAsia="Times New Roman" w:hAnsi="Times New Roman" w:cs="Times New Roman"/>
          <w:sz w:val="24"/>
          <w:szCs w:val="24"/>
        </w:rPr>
        <w:t>.</w:t>
      </w:r>
      <w:r w:rsidR="009B7976">
        <w:rPr>
          <w:rFonts w:ascii="Times New Roman" w:eastAsia="Times New Roman" w:hAnsi="Times New Roman" w:cs="Times New Roman"/>
          <w:sz w:val="24"/>
          <w:szCs w:val="24"/>
        </w:rPr>
        <w:t xml:space="preserve"> (p.86)</w:t>
      </w:r>
    </w:p>
    <w:p w14:paraId="05C63008" w14:textId="20EC14BF" w:rsidR="00667869" w:rsidRPr="00667869" w:rsidRDefault="009B7976"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9B7976">
        <w:rPr>
          <w:rFonts w:ascii="Times New Roman" w:eastAsia="Times New Roman" w:hAnsi="Times New Roman" w:cs="Times New Roman"/>
          <w:sz w:val="24"/>
          <w:szCs w:val="24"/>
        </w:rPr>
        <w:t xml:space="preserve">egún </w:t>
      </w:r>
      <w:r>
        <w:rPr>
          <w:rFonts w:ascii="Times New Roman" w:eastAsia="Times New Roman" w:hAnsi="Times New Roman" w:cs="Times New Roman"/>
          <w:sz w:val="24"/>
          <w:szCs w:val="24"/>
        </w:rPr>
        <w:t>(</w:t>
      </w:r>
      <w:proofErr w:type="spellStart"/>
      <w:r w:rsidRPr="009B7976">
        <w:rPr>
          <w:rFonts w:ascii="Times New Roman" w:eastAsia="Times New Roman" w:hAnsi="Times New Roman" w:cs="Times New Roman"/>
          <w:sz w:val="24"/>
          <w:szCs w:val="24"/>
        </w:rPr>
        <w:t>Salamé</w:t>
      </w:r>
      <w:proofErr w:type="spellEnd"/>
      <w:r w:rsidRPr="009B7976">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w:t>
      </w:r>
      <w:r w:rsidRPr="009B7976">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rsidR="00667869" w:rsidRPr="00667869">
        <w:rPr>
          <w:rFonts w:ascii="Times New Roman" w:eastAsia="Times New Roman" w:hAnsi="Times New Roman" w:cs="Times New Roman"/>
          <w:sz w:val="24"/>
          <w:szCs w:val="24"/>
        </w:rPr>
        <w:t>La indemnidad sexual de los niños o personas con discapacidades que, debido a su fragilidad, carecen de esta libertad, está así incluida en la idea de integridad sexual</w:t>
      </w:r>
      <w:r>
        <w:rPr>
          <w:rFonts w:ascii="Times New Roman" w:eastAsia="Times New Roman" w:hAnsi="Times New Roman" w:cs="Times New Roman"/>
          <w:sz w:val="24"/>
          <w:szCs w:val="24"/>
        </w:rPr>
        <w:t xml:space="preserve">” </w:t>
      </w:r>
      <w:r w:rsidR="00667869" w:rsidRPr="00667869">
        <w:rPr>
          <w:rFonts w:ascii="Times New Roman" w:eastAsia="Times New Roman" w:hAnsi="Times New Roman" w:cs="Times New Roman"/>
          <w:sz w:val="24"/>
          <w:szCs w:val="24"/>
        </w:rPr>
        <w:t>(p. 3).</w:t>
      </w:r>
    </w:p>
    <w:p w14:paraId="7278F65B" w14:textId="77777777" w:rsidR="009B7976" w:rsidRDefault="00667869" w:rsidP="00B939F3">
      <w:pPr>
        <w:spacing w:before="240" w:after="240" w:line="480" w:lineRule="auto"/>
        <w:ind w:firstLine="708"/>
        <w:rPr>
          <w:rFonts w:ascii="Times New Roman" w:eastAsia="Times New Roman" w:hAnsi="Times New Roman" w:cs="Times New Roman"/>
          <w:sz w:val="24"/>
          <w:szCs w:val="24"/>
        </w:rPr>
      </w:pPr>
      <w:r w:rsidRPr="00667869">
        <w:rPr>
          <w:rFonts w:ascii="Times New Roman" w:eastAsia="Times New Roman" w:hAnsi="Times New Roman" w:cs="Times New Roman"/>
          <w:sz w:val="24"/>
          <w:szCs w:val="24"/>
        </w:rPr>
        <w:t>Como resultado, el desarrollo sexual y la integridad se ven como una facultad del ser como individuo consciente y pensante, que constituye y permite la manifestación del desarrollo de la personalidad, así como la capacidad para decidir y asumir la sexualidad de manera libre y voluntaria y para adoptar decisiones respecto a la intimidad de manera autónoma, sin la aprobación de otros.</w:t>
      </w:r>
    </w:p>
    <w:p w14:paraId="0A755293" w14:textId="259003BC" w:rsidR="005E1097" w:rsidRPr="00AC00CF" w:rsidRDefault="005E1097" w:rsidP="00B939F3">
      <w:pPr>
        <w:pStyle w:val="Ttulo1"/>
        <w:numPr>
          <w:ilvl w:val="1"/>
          <w:numId w:val="5"/>
        </w:numPr>
        <w:spacing w:line="480" w:lineRule="auto"/>
        <w:rPr>
          <w:rFonts w:ascii="Times New Roman" w:eastAsia="Times New Roman" w:hAnsi="Times New Roman" w:cs="Times New Roman"/>
          <w:b/>
          <w:color w:val="000000"/>
          <w:sz w:val="28"/>
          <w:szCs w:val="28"/>
        </w:rPr>
      </w:pPr>
      <w:bookmarkStart w:id="13" w:name="_Toc134376638"/>
      <w:r w:rsidRPr="00AC00CF">
        <w:rPr>
          <w:rFonts w:ascii="Times New Roman" w:eastAsia="Times New Roman" w:hAnsi="Times New Roman" w:cs="Times New Roman"/>
          <w:b/>
          <w:color w:val="000000"/>
          <w:sz w:val="24"/>
          <w:szCs w:val="24"/>
        </w:rPr>
        <w:t>La incapacidad absoluta y relativa en el Código Civil colombiano</w:t>
      </w:r>
      <w:bookmarkEnd w:id="13"/>
    </w:p>
    <w:p w14:paraId="748DA47B" w14:textId="77777777"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Antes de abordar el tema, es esencial definir "capacidad para ejercer". Según (Domínguez 2014), se refiere a “la habilidad del sujeto para ejercer individualmente sus derechos, celebrar contratos y cumplir con sus responsabilidades en cualquier situación. También se refiere a la capacidad del sujeto para proporcionar testimonio directo en la corte”. (p. 14)</w:t>
      </w:r>
    </w:p>
    <w:p w14:paraId="78EBEB21" w14:textId="77777777"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 xml:space="preserve">La incapacidad, según el autor (Domínguez, 2014), “surge gradualmente y de manera desigual como resultado de la madurez mental en desarrollo de los niños pequeños a medida que pasa el tiempo durante sus primeros años. Como resultado, se ofrece la opción de ejercer ciertos derechos”. (p 14). </w:t>
      </w:r>
    </w:p>
    <w:p w14:paraId="0E760895" w14:textId="290890E9"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lastRenderedPageBreak/>
        <w:t>Domínguez (2014) sostiene que “a medida que los menores envejecen, pasan de ser más a menos competentes a medida que los signos de incapacidad se desvanecen hasta que ya no están presentes”. (p. 14). Una vez alcanzada la mayoría de edad, se obtiene la capacidad de disponer libremente de uno mismo y de su propiedad. Según esta teoría, la concepción y la infancia están vinculadas a la incapacidad total. Sin embargo, los enérgicos también están incluidos en la incapacidad total.</w:t>
      </w:r>
    </w:p>
    <w:p w14:paraId="61340568" w14:textId="77777777"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El Artículo 1504 del Código Civil regula tanto las incapacidades absolutas como las relativas.</w:t>
      </w:r>
    </w:p>
    <w:p w14:paraId="23C05959" w14:textId="77777777" w:rsidR="00A44D71" w:rsidRPr="00A44D71" w:rsidRDefault="00A44D71" w:rsidP="00B939F3">
      <w:pPr>
        <w:spacing w:before="240" w:after="240" w:line="480" w:lineRule="auto"/>
        <w:ind w:left="851" w:firstLine="709"/>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Los menores no tienen control en absoluto. Sus acciones ni siquiera fomentan la prudencia ni los deberes naturales. Los adolescentes que están pasando por la pubertad no pueden ser manejados por ellos. Sin embargo, la incapacidad de estas personas no es total ya que, bajo ciertas circunstancias y de acuerdo con ciertas leyes, sus acciones pueden considerarse valiosas. Existen incapacidades más específicas además de las incapacidades mencionadas (Código Civil, 1887). Una de ellas son las restricciones impuestas por la ley a la capacidad de ciertas personas para participar en actividades particulares.</w:t>
      </w:r>
    </w:p>
    <w:p w14:paraId="25307AC2" w14:textId="332D4F30" w:rsidR="00A44D71" w:rsidRPr="00A44D71" w:rsidRDefault="00A44D71" w:rsidP="00B939F3">
      <w:pPr>
        <w:spacing w:before="240" w:after="240" w:line="480" w:lineRule="auto"/>
        <w:ind w:left="851" w:firstLine="709"/>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Existen diferentes niveles de competencia para los adolescentes, lo que implica que hay diferentes obligaciones legales que son capaces de realizar. Hacer un testamento, casarse, reconocer a un hijo, natural o adoptado, firmar contratos matrimoniales, adquirir propiedad tanto mueble como inmueble, y consentir la adopción de un hijo son algunos ejemplos de estas acciones</w:t>
      </w:r>
      <w:r>
        <w:rPr>
          <w:rFonts w:ascii="Times New Roman" w:eastAsia="Times New Roman" w:hAnsi="Times New Roman" w:cs="Times New Roman"/>
          <w:sz w:val="24"/>
          <w:szCs w:val="24"/>
        </w:rPr>
        <w:t>.</w:t>
      </w:r>
      <w:r w:rsidRPr="00A44D71">
        <w:rPr>
          <w:rFonts w:ascii="Times New Roman" w:eastAsia="Times New Roman" w:hAnsi="Times New Roman" w:cs="Times New Roman"/>
          <w:sz w:val="24"/>
          <w:szCs w:val="24"/>
        </w:rPr>
        <w:t xml:space="preserve"> (Instituto Colombiano de Bienestar Familiar [ICBF], 2010).</w:t>
      </w:r>
    </w:p>
    <w:p w14:paraId="4FE22CA2" w14:textId="77777777"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lastRenderedPageBreak/>
        <w:t>Los niños adolescentes también tienen permiso para participar en comportamientos tanto criminales como legales dependiendo de su capacidad relativa, según la jurisprudencia;</w:t>
      </w:r>
    </w:p>
    <w:p w14:paraId="32D7199F" w14:textId="77777777"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Según la Corte Constitucional</w:t>
      </w:r>
    </w:p>
    <w:p w14:paraId="00FEA947" w14:textId="77777777" w:rsidR="00A44D71" w:rsidRPr="00A44D71" w:rsidRDefault="00A44D71" w:rsidP="00B939F3">
      <w:pPr>
        <w:spacing w:before="240" w:after="240" w:line="480" w:lineRule="auto"/>
        <w:ind w:left="851" w:firstLine="709"/>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Tienen el poder de hacer testamentos, aceptar la responsabilidad de los hijos extramatrimoniales, otorgar y buscar alimentos en su nombre, consentir la adopción de sus propios hijos, celebrar ciertos acuerdos financieros y reconocer hijos extramatrimoniales. Aunque las personas son capaces de realizar algunas de estas cosas por sí mismas, algunas de ellas, incluyendo la capacidad de casarse, consentir capitulaciones, ser adoptados y firmar contratos de trabajo, necesitan el consentimiento de sus representantes. Sin embargo, son absolutamente incapaces de llevar a cabo cualquier otra obligación legal, incluyendo las de profesores, curadores, ejecutores o meritorios. (Sentencia T-474/96, 1996).</w:t>
      </w:r>
    </w:p>
    <w:p w14:paraId="44B0CB54" w14:textId="77777777" w:rsidR="00A44D71" w:rsidRP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Si los niños pueden dar su consentimiento informado es un tema de debate, especialmente cuando se trata de problemas de salud. Es notable el caso que se resolvió en la Sentencia T-474/96, en la que un joven se negó a recibir una transfusión de sangre debido a sus convicciones religiosas a pesar de la aprobación de sus padres para el tratamiento. La Corte Constitucional decidió que los niños deben dar su acuerdo antes de recibir tratamiento médico, a menos que haya circunstancias excepcionales, para adherirse a las directrices del fallo superior.</w:t>
      </w:r>
    </w:p>
    <w:p w14:paraId="4D753ABF" w14:textId="532326A1" w:rsidR="00A44D71" w:rsidRPr="00A44D71" w:rsidRDefault="00A44D71" w:rsidP="00B939F3">
      <w:pPr>
        <w:spacing w:before="240" w:after="240" w:line="480" w:lineRule="auto"/>
        <w:ind w:left="851" w:firstLine="709"/>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 xml:space="preserve">Las obligaciones de los Artículos 5, 11 y 44 de la Constitución Política solo pueden ser mantenidas de esta manera, por lo tanto, es crucial mantener la decisión </w:t>
      </w:r>
      <w:r w:rsidRPr="00A44D71">
        <w:rPr>
          <w:rFonts w:ascii="Times New Roman" w:eastAsia="Times New Roman" w:hAnsi="Times New Roman" w:cs="Times New Roman"/>
          <w:sz w:val="24"/>
          <w:szCs w:val="24"/>
        </w:rPr>
        <w:lastRenderedPageBreak/>
        <w:t>del padre para proteger al niño si su rechazo pone en peligro su integridad física y vida</w:t>
      </w:r>
      <w:r>
        <w:rPr>
          <w:rFonts w:ascii="Times New Roman" w:eastAsia="Times New Roman" w:hAnsi="Times New Roman" w:cs="Times New Roman"/>
          <w:sz w:val="24"/>
          <w:szCs w:val="24"/>
        </w:rPr>
        <w:t>.</w:t>
      </w:r>
      <w:r w:rsidRPr="00A44D71">
        <w:rPr>
          <w:rFonts w:ascii="Times New Roman" w:eastAsia="Times New Roman" w:hAnsi="Times New Roman" w:cs="Times New Roman"/>
          <w:sz w:val="24"/>
          <w:szCs w:val="24"/>
        </w:rPr>
        <w:t xml:space="preserve"> (Sentencia T-474/96, 1996).</w:t>
      </w:r>
    </w:p>
    <w:p w14:paraId="0FDC2879" w14:textId="23ECEBEA" w:rsidR="00A44D71" w:rsidRDefault="00A44D71" w:rsidP="00B939F3">
      <w:pPr>
        <w:spacing w:before="240" w:after="240" w:line="480" w:lineRule="auto"/>
        <w:ind w:firstLine="708"/>
        <w:rPr>
          <w:rFonts w:ascii="Times New Roman" w:eastAsia="Times New Roman" w:hAnsi="Times New Roman" w:cs="Times New Roman"/>
          <w:sz w:val="24"/>
          <w:szCs w:val="24"/>
        </w:rPr>
      </w:pPr>
      <w:r w:rsidRPr="00A44D71">
        <w:rPr>
          <w:rFonts w:ascii="Times New Roman" w:eastAsia="Times New Roman" w:hAnsi="Times New Roman" w:cs="Times New Roman"/>
          <w:sz w:val="24"/>
          <w:szCs w:val="24"/>
        </w:rPr>
        <w:t xml:space="preserve">A pesar de que el joven solo tenía 17 años, la </w:t>
      </w:r>
      <w:r>
        <w:rPr>
          <w:rFonts w:ascii="Times New Roman" w:eastAsia="Times New Roman" w:hAnsi="Times New Roman" w:cs="Times New Roman"/>
          <w:sz w:val="24"/>
          <w:szCs w:val="24"/>
        </w:rPr>
        <w:t xml:space="preserve">sentencia </w:t>
      </w:r>
      <w:r w:rsidRPr="00A44D71">
        <w:rPr>
          <w:rFonts w:ascii="Times New Roman" w:eastAsia="Times New Roman" w:hAnsi="Times New Roman" w:cs="Times New Roman"/>
          <w:sz w:val="24"/>
          <w:szCs w:val="24"/>
        </w:rPr>
        <w:t>de tutela determinó que su derecho a la salud necesitaba ser protegido. Lo anterior deja claro que debido a que carecen de la capacidad legal para tomar decisiones sobre todos los aspectos de sus vidas personales, los menores de 18 años, y en particular los menores de 14 años están limitados en su capacidad para ejercer sus derechos legales y están obligados a seguir las instrucciones de sus tutores legales para completar ciertas transacciones legales, participar en procedimientos legales, recibir tratamiento médico y participar en otras actividades similares.</w:t>
      </w:r>
    </w:p>
    <w:p w14:paraId="3E9CD807" w14:textId="77777777" w:rsidR="00392462" w:rsidRPr="00156986" w:rsidRDefault="00392462" w:rsidP="00B939F3">
      <w:pPr>
        <w:spacing w:before="240" w:after="240" w:line="480" w:lineRule="auto"/>
        <w:ind w:firstLine="567"/>
        <w:rPr>
          <w:rFonts w:ascii="Times New Roman" w:eastAsia="Times New Roman" w:hAnsi="Times New Roman" w:cs="Times New Roman"/>
          <w:sz w:val="24"/>
          <w:szCs w:val="24"/>
          <w:highlight w:val="yellow"/>
        </w:rPr>
      </w:pPr>
    </w:p>
    <w:p w14:paraId="1CA07E06" w14:textId="77777777" w:rsidR="005E1097" w:rsidRDefault="005E1097" w:rsidP="00B939F3">
      <w:pPr>
        <w:pStyle w:val="Ttulo2"/>
        <w:numPr>
          <w:ilvl w:val="1"/>
          <w:numId w:val="5"/>
        </w:numPr>
        <w:spacing w:line="480" w:lineRule="auto"/>
        <w:rPr>
          <w:rFonts w:ascii="Times New Roman" w:eastAsia="Times New Roman" w:hAnsi="Times New Roman" w:cs="Times New Roman"/>
          <w:b/>
          <w:color w:val="000000"/>
          <w:sz w:val="24"/>
          <w:szCs w:val="24"/>
        </w:rPr>
      </w:pPr>
      <w:r w:rsidRPr="002E5748">
        <w:rPr>
          <w:rFonts w:ascii="Times New Roman" w:eastAsia="Times New Roman" w:hAnsi="Times New Roman" w:cs="Times New Roman"/>
          <w:b/>
          <w:color w:val="000000"/>
          <w:sz w:val="24"/>
          <w:szCs w:val="24"/>
        </w:rPr>
        <w:t xml:space="preserve"> </w:t>
      </w:r>
      <w:bookmarkStart w:id="14" w:name="_Toc134376639"/>
      <w:r w:rsidRPr="002E5748">
        <w:rPr>
          <w:rFonts w:ascii="Times New Roman" w:eastAsia="Times New Roman" w:hAnsi="Times New Roman" w:cs="Times New Roman"/>
          <w:b/>
          <w:color w:val="000000"/>
          <w:sz w:val="24"/>
          <w:szCs w:val="24"/>
        </w:rPr>
        <w:t>El consentimiento</w:t>
      </w:r>
      <w:bookmarkEnd w:id="14"/>
    </w:p>
    <w:p w14:paraId="19061C34" w14:textId="77777777" w:rsidR="00826BB1" w:rsidRPr="00826BB1" w:rsidRDefault="00826BB1" w:rsidP="00B939F3">
      <w:pPr>
        <w:spacing w:line="480" w:lineRule="auto"/>
      </w:pPr>
    </w:p>
    <w:p w14:paraId="0E8A8E84" w14:textId="73E71FAD" w:rsidR="00826BB1" w:rsidRPr="00826BB1" w:rsidRDefault="00B13665" w:rsidP="00B939F3">
      <w:pPr>
        <w:spacing w:line="480" w:lineRule="auto"/>
        <w:rPr>
          <w:rFonts w:ascii="Times New Roman" w:hAnsi="Times New Roman" w:cs="Times New Roman"/>
          <w:sz w:val="24"/>
          <w:szCs w:val="24"/>
        </w:rPr>
      </w:pPr>
      <w:bookmarkStart w:id="15" w:name="_Hlk135523149"/>
      <w:r>
        <w:t xml:space="preserve">            </w:t>
      </w:r>
      <w:r w:rsidR="00826BB1" w:rsidRPr="00826BB1">
        <w:rPr>
          <w:rFonts w:ascii="Times New Roman" w:hAnsi="Times New Roman" w:cs="Times New Roman"/>
          <w:sz w:val="24"/>
          <w:szCs w:val="24"/>
        </w:rPr>
        <w:t>Según el Artículo 1508 y normas relacionadas del derecho civil colombiano, el consentimiento a nivel contractual es la expresión de las voluntades de ambas partes. Por lo tanto, el error, la fuerza y el engaño se consideran vicios del consentimiento ya que restringen la completa libertad de voluntad de una persona. Estas acciones hablan de la manifestación de la voluntad sin libertad, juicio, propósito o conciencia.</w:t>
      </w:r>
    </w:p>
    <w:p w14:paraId="5CCA2714" w14:textId="65CEF18F" w:rsidR="00B13665" w:rsidRPr="00A44D71" w:rsidRDefault="00826BB1" w:rsidP="00B939F3">
      <w:pPr>
        <w:spacing w:line="480" w:lineRule="auto"/>
        <w:ind w:firstLine="501"/>
        <w:rPr>
          <w:rFonts w:ascii="Times New Roman" w:hAnsi="Times New Roman" w:cs="Times New Roman"/>
          <w:sz w:val="24"/>
          <w:szCs w:val="24"/>
          <w:highlight w:val="yellow"/>
        </w:rPr>
      </w:pPr>
      <w:r w:rsidRPr="00826BB1">
        <w:rPr>
          <w:rFonts w:ascii="Times New Roman" w:hAnsi="Times New Roman" w:cs="Times New Roman"/>
          <w:sz w:val="24"/>
          <w:szCs w:val="24"/>
        </w:rPr>
        <w:t>Los términos "error", "fraude" y "fuerza" se refieren todos a usar coerción o fuerza contra otra persona para obligar a esa persona a dar su consentimiento. Incluso si se comete un error, la percepción de la realidad sigue siendo engañada. El fraude es cualquier acción deshonesta que es contraria a la buena fe y la honestidad.</w:t>
      </w:r>
    </w:p>
    <w:p w14:paraId="30819565" w14:textId="556D8688" w:rsidR="005E1097" w:rsidRPr="002863B9" w:rsidRDefault="005E1097" w:rsidP="00B939F3">
      <w:pPr>
        <w:pStyle w:val="Ttulo2"/>
        <w:numPr>
          <w:ilvl w:val="1"/>
          <w:numId w:val="5"/>
        </w:numPr>
        <w:spacing w:line="480" w:lineRule="auto"/>
        <w:rPr>
          <w:rFonts w:ascii="Times New Roman" w:eastAsia="Times New Roman" w:hAnsi="Times New Roman" w:cs="Times New Roman"/>
          <w:b/>
          <w:color w:val="000000"/>
          <w:sz w:val="24"/>
          <w:szCs w:val="24"/>
        </w:rPr>
      </w:pPr>
      <w:bookmarkStart w:id="16" w:name="_Toc134376640"/>
      <w:bookmarkEnd w:id="15"/>
      <w:r w:rsidRPr="002863B9">
        <w:rPr>
          <w:rFonts w:ascii="Times New Roman" w:eastAsia="Times New Roman" w:hAnsi="Times New Roman" w:cs="Times New Roman"/>
          <w:b/>
          <w:color w:val="000000"/>
          <w:sz w:val="24"/>
          <w:szCs w:val="24"/>
        </w:rPr>
        <w:lastRenderedPageBreak/>
        <w:t>Presunciones</w:t>
      </w:r>
      <w:bookmarkEnd w:id="16"/>
    </w:p>
    <w:p w14:paraId="3FF6E17E" w14:textId="26C0A63F" w:rsidR="00826BB1" w:rsidRDefault="00826BB1" w:rsidP="00B939F3">
      <w:pPr>
        <w:spacing w:before="240" w:after="240" w:line="480" w:lineRule="auto"/>
        <w:ind w:firstLine="708"/>
        <w:rPr>
          <w:rFonts w:ascii="Times New Roman" w:eastAsia="Times New Roman" w:hAnsi="Times New Roman" w:cs="Times New Roman"/>
          <w:sz w:val="24"/>
          <w:szCs w:val="24"/>
        </w:rPr>
      </w:pPr>
      <w:bookmarkStart w:id="17" w:name="_Hlk135523166"/>
      <w:r w:rsidRPr="00826BB1">
        <w:rPr>
          <w:rFonts w:ascii="Times New Roman" w:eastAsia="Times New Roman" w:hAnsi="Times New Roman" w:cs="Times New Roman"/>
          <w:sz w:val="24"/>
          <w:szCs w:val="24"/>
        </w:rPr>
        <w:t xml:space="preserve">Según Vegas (2007), citado en Real Academia de la Lengua Española (1992), </w:t>
      </w:r>
      <w:r>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una presunción es una hipótesis, suposición, indicador, signo, sospecha, juicio legal, a falta de prueba en contrario, y una conclusión inatacable de la ley</w:t>
      </w:r>
      <w:r>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w:t>
      </w:r>
    </w:p>
    <w:p w14:paraId="0356AB6A" w14:textId="602338DC" w:rsidR="005E1097" w:rsidRPr="002863B9" w:rsidRDefault="005E1097" w:rsidP="00B939F3">
      <w:pPr>
        <w:pStyle w:val="Ttulo2"/>
        <w:numPr>
          <w:ilvl w:val="2"/>
          <w:numId w:val="5"/>
        </w:numPr>
        <w:spacing w:line="480" w:lineRule="auto"/>
        <w:rPr>
          <w:rFonts w:ascii="Times New Roman" w:eastAsia="Times New Roman" w:hAnsi="Times New Roman" w:cs="Times New Roman"/>
          <w:b/>
          <w:i/>
          <w:color w:val="000000"/>
          <w:sz w:val="24"/>
          <w:szCs w:val="24"/>
        </w:rPr>
      </w:pPr>
      <w:bookmarkStart w:id="18" w:name="_Toc134376641"/>
      <w:bookmarkEnd w:id="17"/>
      <w:r w:rsidRPr="002863B9">
        <w:rPr>
          <w:rFonts w:ascii="Times New Roman" w:eastAsia="Times New Roman" w:hAnsi="Times New Roman" w:cs="Times New Roman"/>
          <w:b/>
          <w:color w:val="000000"/>
          <w:sz w:val="24"/>
          <w:szCs w:val="24"/>
        </w:rPr>
        <w:t xml:space="preserve">Presunción </w:t>
      </w:r>
      <w:r w:rsidR="00392462">
        <w:rPr>
          <w:rFonts w:ascii="Times New Roman" w:eastAsia="Times New Roman" w:hAnsi="Times New Roman" w:cs="Times New Roman"/>
          <w:b/>
          <w:color w:val="000000"/>
          <w:sz w:val="24"/>
          <w:szCs w:val="24"/>
        </w:rPr>
        <w:t>de</w:t>
      </w:r>
      <w:r w:rsidRPr="002863B9">
        <w:rPr>
          <w:rFonts w:ascii="Times New Roman" w:eastAsia="Times New Roman" w:hAnsi="Times New Roman" w:cs="Times New Roman"/>
          <w:b/>
          <w:color w:val="000000"/>
          <w:sz w:val="24"/>
          <w:szCs w:val="24"/>
        </w:rPr>
        <w:t xml:space="preserve"> derecho </w:t>
      </w:r>
      <w:r w:rsidRPr="002863B9">
        <w:rPr>
          <w:rFonts w:ascii="Times New Roman" w:eastAsia="Times New Roman" w:hAnsi="Times New Roman" w:cs="Times New Roman"/>
          <w:b/>
          <w:i/>
          <w:color w:val="000000"/>
          <w:sz w:val="24"/>
          <w:szCs w:val="24"/>
        </w:rPr>
        <w:t>iuris et de iure</w:t>
      </w:r>
      <w:bookmarkEnd w:id="18"/>
    </w:p>
    <w:p w14:paraId="027AFA6F" w14:textId="1C693044" w:rsidR="00826BB1" w:rsidRPr="00826BB1" w:rsidRDefault="00826BB1" w:rsidP="00B939F3">
      <w:pPr>
        <w:spacing w:before="240" w:after="240" w:line="480" w:lineRule="auto"/>
        <w:ind w:firstLine="708"/>
        <w:rPr>
          <w:rFonts w:ascii="Times New Roman" w:eastAsia="Times New Roman" w:hAnsi="Times New Roman" w:cs="Times New Roman"/>
          <w:sz w:val="24"/>
          <w:szCs w:val="24"/>
          <w:highlight w:val="yellow"/>
        </w:rPr>
      </w:pPr>
      <w:r w:rsidRPr="00826BB1">
        <w:rPr>
          <w:rFonts w:ascii="Times New Roman" w:eastAsia="Times New Roman" w:hAnsi="Times New Roman" w:cs="Times New Roman"/>
          <w:sz w:val="24"/>
          <w:szCs w:val="24"/>
        </w:rPr>
        <w:t xml:space="preserve">Dicha prueba </w:t>
      </w:r>
      <w:r>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se considera absoluta ya que prohíbe la admisión de pruebas contradictorias. Además, se ve como iuris ya que la ley lo ha establecido, y se ve como de iure porque, como resultado, la ley ve el asunto en el que participó como decidido</w:t>
      </w:r>
      <w:r>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 xml:space="preserve"> (Venegas, 2007).</w:t>
      </w:r>
    </w:p>
    <w:p w14:paraId="64BE650B" w14:textId="17908B90" w:rsidR="005E1097" w:rsidRPr="002863B9" w:rsidRDefault="00826BB1" w:rsidP="00B939F3">
      <w:pPr>
        <w:spacing w:before="240" w:after="240" w:line="480" w:lineRule="auto"/>
        <w:ind w:firstLine="708"/>
        <w:rPr>
          <w:rFonts w:ascii="Times New Roman" w:eastAsia="Times New Roman" w:hAnsi="Times New Roman" w:cs="Times New Roman"/>
          <w:sz w:val="24"/>
          <w:szCs w:val="24"/>
        </w:rPr>
      </w:pPr>
      <w:r w:rsidRPr="00826BB1">
        <w:rPr>
          <w:rFonts w:ascii="Times New Roman" w:eastAsia="Times New Roman" w:hAnsi="Times New Roman" w:cs="Times New Roman"/>
          <w:sz w:val="24"/>
          <w:szCs w:val="24"/>
        </w:rPr>
        <w:t xml:space="preserve">Algunos expertos legales sostienen que </w:t>
      </w:r>
      <w:r>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el número legal examinado no es una presunción. por lo tanto, simplemente descarta las pruebas que respaldan un punto de vista mientras acepta las pruebas que respaldan el otro</w:t>
      </w:r>
      <w:r>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w:t>
      </w:r>
      <w:r w:rsidR="002863B9" w:rsidRPr="00826BB1">
        <w:rPr>
          <w:rFonts w:ascii="Times New Roman" w:eastAsia="Times New Roman" w:hAnsi="Times New Roman" w:cs="Times New Roman"/>
          <w:noProof/>
          <w:sz w:val="24"/>
          <w:szCs w:val="24"/>
          <w:lang w:val="es-VE"/>
        </w:rPr>
        <w:t xml:space="preserve"> (Venegas, 2007)</w:t>
      </w:r>
      <w:r w:rsidR="005E1097" w:rsidRPr="00826BB1">
        <w:rPr>
          <w:rFonts w:ascii="Times New Roman" w:eastAsia="Times New Roman" w:hAnsi="Times New Roman" w:cs="Times New Roman"/>
          <w:sz w:val="24"/>
          <w:szCs w:val="24"/>
        </w:rPr>
        <w:t>.</w:t>
      </w:r>
    </w:p>
    <w:p w14:paraId="1440BCB7" w14:textId="5FBAD0E3" w:rsidR="00826BB1" w:rsidRPr="00826BB1" w:rsidRDefault="00826BB1" w:rsidP="00B939F3">
      <w:pPr>
        <w:spacing w:before="240" w:after="240" w:line="480" w:lineRule="auto"/>
        <w:ind w:firstLine="708"/>
        <w:rPr>
          <w:rFonts w:ascii="Times New Roman" w:eastAsia="Times New Roman" w:hAnsi="Times New Roman" w:cs="Times New Roman"/>
          <w:sz w:val="24"/>
          <w:szCs w:val="24"/>
        </w:rPr>
      </w:pPr>
      <w:r w:rsidRPr="00826BB1">
        <w:rPr>
          <w:rFonts w:ascii="Times New Roman" w:eastAsia="Times New Roman" w:hAnsi="Times New Roman" w:cs="Times New Roman"/>
          <w:sz w:val="24"/>
          <w:szCs w:val="24"/>
        </w:rPr>
        <w:t xml:space="preserve">Dado que todas las presunciones son iuris tantum, como señalaron los estudiosos del derecho civil en (Venegas, 2007), </w:t>
      </w:r>
      <w:r w:rsidR="001610E6">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se acepta que las presunciones iuris et de iure no pueden ser reconocidas hoy y que todas permiten prueba en contrario</w:t>
      </w:r>
      <w:r w:rsidR="001610E6">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w:t>
      </w:r>
    </w:p>
    <w:p w14:paraId="12947660" w14:textId="77777777" w:rsidR="00826BB1" w:rsidRPr="00826BB1" w:rsidRDefault="00826BB1" w:rsidP="00B939F3">
      <w:pPr>
        <w:spacing w:before="240" w:after="240" w:line="480" w:lineRule="auto"/>
        <w:ind w:firstLine="708"/>
        <w:rPr>
          <w:rFonts w:ascii="Times New Roman" w:eastAsia="Times New Roman" w:hAnsi="Times New Roman" w:cs="Times New Roman"/>
          <w:sz w:val="24"/>
          <w:szCs w:val="24"/>
        </w:rPr>
      </w:pPr>
    </w:p>
    <w:p w14:paraId="68C94B91" w14:textId="007EA31F" w:rsidR="00826BB1" w:rsidRDefault="00826BB1" w:rsidP="00B939F3">
      <w:pPr>
        <w:spacing w:before="240" w:after="240" w:line="480" w:lineRule="auto"/>
        <w:ind w:firstLine="708"/>
        <w:rPr>
          <w:rFonts w:ascii="Times New Roman" w:eastAsia="Times New Roman" w:hAnsi="Times New Roman" w:cs="Times New Roman"/>
          <w:sz w:val="24"/>
          <w:szCs w:val="24"/>
        </w:rPr>
      </w:pPr>
      <w:r w:rsidRPr="00826BB1">
        <w:rPr>
          <w:rFonts w:ascii="Times New Roman" w:eastAsia="Times New Roman" w:hAnsi="Times New Roman" w:cs="Times New Roman"/>
          <w:sz w:val="24"/>
          <w:szCs w:val="24"/>
        </w:rPr>
        <w:t xml:space="preserve">Según Venegas, </w:t>
      </w:r>
      <w:r w:rsidR="001610E6">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se puede decir que esta presunción no permite demostrar que el hecho presumido es falso</w:t>
      </w:r>
      <w:r w:rsidR="001610E6">
        <w:rPr>
          <w:rFonts w:ascii="Times New Roman" w:eastAsia="Times New Roman" w:hAnsi="Times New Roman" w:cs="Times New Roman"/>
          <w:sz w:val="24"/>
          <w:szCs w:val="24"/>
        </w:rPr>
        <w:t>”</w:t>
      </w:r>
      <w:r w:rsidRPr="00826BB1">
        <w:rPr>
          <w:rFonts w:ascii="Times New Roman" w:eastAsia="Times New Roman" w:hAnsi="Times New Roman" w:cs="Times New Roman"/>
          <w:sz w:val="24"/>
          <w:szCs w:val="24"/>
        </w:rPr>
        <w:t>.</w:t>
      </w:r>
      <w:r w:rsidR="001610E6">
        <w:rPr>
          <w:rFonts w:ascii="Times New Roman" w:eastAsia="Times New Roman" w:hAnsi="Times New Roman" w:cs="Times New Roman"/>
          <w:sz w:val="24"/>
          <w:szCs w:val="24"/>
        </w:rPr>
        <w:t xml:space="preserve"> Por lo tanto</w:t>
      </w:r>
      <w:r w:rsidRPr="00826BB1">
        <w:rPr>
          <w:rFonts w:ascii="Times New Roman" w:eastAsia="Times New Roman" w:hAnsi="Times New Roman" w:cs="Times New Roman"/>
          <w:sz w:val="24"/>
          <w:szCs w:val="24"/>
        </w:rPr>
        <w:t>, en el proceso legal, si se discute la conducta que tiene esta presunción, no se puede refutar a nivel de la evidencia; en cambio, solo se examinará lo que ha sido validado por la ejecución, y no se considerarán aspectos subjetivos.</w:t>
      </w:r>
    </w:p>
    <w:p w14:paraId="5229E8B2" w14:textId="7CC617B1" w:rsidR="00EC7A51" w:rsidRPr="00EC7A51" w:rsidRDefault="005E1097" w:rsidP="00B939F3">
      <w:pPr>
        <w:pStyle w:val="Ttulo2"/>
        <w:numPr>
          <w:ilvl w:val="2"/>
          <w:numId w:val="5"/>
        </w:numPr>
        <w:spacing w:line="480" w:lineRule="auto"/>
        <w:rPr>
          <w:rFonts w:ascii="Times New Roman" w:eastAsia="Times New Roman" w:hAnsi="Times New Roman" w:cs="Times New Roman"/>
          <w:b/>
          <w:bCs/>
        </w:rPr>
      </w:pPr>
      <w:bookmarkStart w:id="19" w:name="_Toc134376642"/>
      <w:r w:rsidRPr="00322B74">
        <w:rPr>
          <w:rFonts w:ascii="Times New Roman" w:eastAsia="Times New Roman" w:hAnsi="Times New Roman" w:cs="Times New Roman"/>
          <w:b/>
          <w:bCs/>
          <w:color w:val="auto"/>
          <w:sz w:val="24"/>
          <w:szCs w:val="24"/>
        </w:rPr>
        <w:lastRenderedPageBreak/>
        <w:t xml:space="preserve">Presunción </w:t>
      </w:r>
      <w:r w:rsidR="002863B9" w:rsidRPr="00322B74">
        <w:rPr>
          <w:rFonts w:ascii="Times New Roman" w:eastAsia="Times New Roman" w:hAnsi="Times New Roman" w:cs="Times New Roman"/>
          <w:b/>
          <w:bCs/>
          <w:color w:val="auto"/>
          <w:sz w:val="24"/>
          <w:szCs w:val="24"/>
        </w:rPr>
        <w:t xml:space="preserve">legal </w:t>
      </w:r>
      <w:r w:rsidR="002863B9" w:rsidRPr="00322B74">
        <w:rPr>
          <w:rFonts w:ascii="Times New Roman" w:eastAsia="Times New Roman" w:hAnsi="Times New Roman" w:cs="Times New Roman"/>
          <w:b/>
          <w:bCs/>
          <w:i/>
          <w:color w:val="auto"/>
          <w:sz w:val="24"/>
          <w:szCs w:val="24"/>
        </w:rPr>
        <w:t>iuris</w:t>
      </w:r>
      <w:r w:rsidRPr="00322B74">
        <w:rPr>
          <w:rFonts w:ascii="Times New Roman" w:eastAsia="Times New Roman" w:hAnsi="Times New Roman" w:cs="Times New Roman"/>
          <w:b/>
          <w:bCs/>
          <w:i/>
          <w:color w:val="auto"/>
          <w:sz w:val="24"/>
          <w:szCs w:val="24"/>
        </w:rPr>
        <w:t xml:space="preserve"> tantum</w:t>
      </w:r>
      <w:bookmarkStart w:id="20" w:name="_Hlk135524679"/>
      <w:bookmarkEnd w:id="19"/>
    </w:p>
    <w:p w14:paraId="64E795FE" w14:textId="6EBE688B" w:rsidR="00EC7A51" w:rsidRPr="00EC7A51" w:rsidRDefault="00EC7A51" w:rsidP="00B939F3">
      <w:pPr>
        <w:spacing w:before="240" w:after="240" w:line="480" w:lineRule="auto"/>
        <w:ind w:firstLine="708"/>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“El individuo que tiene una presunción refutable a su favor no tendrá que establecer el hecho afirmado; en cambio, tendrán que probar los hechos que constituyen las presunciones o premisas de ella”. (Venegas, 2007).</w:t>
      </w:r>
    </w:p>
    <w:p w14:paraId="365E7E20" w14:textId="77777777" w:rsidR="00EC7A51" w:rsidRDefault="00EC7A51" w:rsidP="00B939F3">
      <w:pPr>
        <w:spacing w:before="240" w:after="240" w:line="480" w:lineRule="auto"/>
        <w:ind w:firstLine="708"/>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De acuerdo con la noción mencionada, pueden ser considerados como existentes si permiten la formación o presentación de pruebas contradictorias y colocan la carga de la prueba en la parte que desea rechazarla. Son de naturaleza procesal más que judicial, ya que pertenecen a la parte que está siendo acusada o demandada en lugar de la parte que está siendo responsabilizada.</w:t>
      </w:r>
    </w:p>
    <w:p w14:paraId="33948EA5" w14:textId="77777777" w:rsidR="00EC7A51" w:rsidRDefault="00EC7A51" w:rsidP="00B939F3">
      <w:pPr>
        <w:spacing w:before="240" w:after="240" w:line="480" w:lineRule="auto"/>
        <w:ind w:firstLine="708"/>
        <w:rPr>
          <w:rFonts w:ascii="Times New Roman" w:eastAsia="Times New Roman" w:hAnsi="Times New Roman" w:cs="Times New Roman"/>
          <w:sz w:val="24"/>
          <w:szCs w:val="24"/>
        </w:rPr>
      </w:pPr>
    </w:p>
    <w:p w14:paraId="69DF5CF7" w14:textId="1B18BA46" w:rsidR="00EC7A51" w:rsidRPr="00EC7A51" w:rsidRDefault="00D3109B" w:rsidP="00B939F3">
      <w:pPr>
        <w:pStyle w:val="Ttulo1"/>
        <w:spacing w:line="480" w:lineRule="auto"/>
        <w:rPr>
          <w:rFonts w:ascii="Times New Roman" w:eastAsia="Times New Roman" w:hAnsi="Times New Roman" w:cs="Times New Roman"/>
          <w:b/>
          <w:color w:val="000000"/>
          <w:sz w:val="24"/>
          <w:szCs w:val="24"/>
        </w:rPr>
      </w:pPr>
      <w:bookmarkStart w:id="21" w:name="_Toc134376643"/>
      <w:r>
        <w:rPr>
          <w:rFonts w:ascii="Times New Roman" w:eastAsia="Times New Roman" w:hAnsi="Times New Roman" w:cs="Times New Roman"/>
          <w:b/>
          <w:color w:val="000000"/>
          <w:sz w:val="24"/>
          <w:szCs w:val="24"/>
          <w:lang w:val="es-CO"/>
        </w:rPr>
        <w:t>1.9.</w:t>
      </w:r>
      <w:r w:rsidR="000125EE">
        <w:rPr>
          <w:rFonts w:ascii="Times New Roman" w:eastAsia="Times New Roman" w:hAnsi="Times New Roman" w:cs="Times New Roman"/>
          <w:b/>
          <w:color w:val="000000"/>
          <w:sz w:val="24"/>
          <w:szCs w:val="24"/>
          <w:lang w:val="es-CO"/>
        </w:rPr>
        <w:t xml:space="preserve"> </w:t>
      </w:r>
      <w:r w:rsidR="0037138C">
        <w:rPr>
          <w:rFonts w:ascii="Times New Roman" w:eastAsia="Times New Roman" w:hAnsi="Times New Roman" w:cs="Times New Roman"/>
          <w:b/>
          <w:color w:val="000000"/>
          <w:sz w:val="24"/>
          <w:szCs w:val="24"/>
        </w:rPr>
        <w:t>Derechos de los menores de edad al acceso de educación sexual</w:t>
      </w:r>
      <w:bookmarkEnd w:id="21"/>
      <w:r w:rsidR="0037138C">
        <w:rPr>
          <w:rFonts w:ascii="Times New Roman" w:eastAsia="Times New Roman" w:hAnsi="Times New Roman" w:cs="Times New Roman"/>
          <w:b/>
          <w:color w:val="000000"/>
          <w:sz w:val="24"/>
          <w:szCs w:val="24"/>
        </w:rPr>
        <w:t xml:space="preserve"> </w:t>
      </w:r>
    </w:p>
    <w:p w14:paraId="0FA3C8D7" w14:textId="3A9A68CD" w:rsidR="00EC7A51" w:rsidRPr="00EC7A51" w:rsidRDefault="00EC7A51" w:rsidP="00B939F3">
      <w:pPr>
        <w:spacing w:before="240" w:after="240" w:line="480" w:lineRule="auto"/>
        <w:ind w:firstLine="708"/>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Uno de los aspectos más significativos de quiénes somos como individuos es nuestra sexualidad, con la que lidiamos y aprendemos desde una edad temprana. Más allá de nuestras características físicas o encuentros sexuales, hay otros factores que afectan cómo nos desarrollamos como hombres o mujeres. Es responsabilidad de todas las comunidades mejorar este derecho ya que es un derecho natural que pertenece a todos. La salud y los derechos de los jóvenes con referencia a su salud sexual y reproductiva han llamado la atención a nivel mundial desde la Conferencia Mundial sobre Población y Desarrollo de El Cairo en 1994.</w:t>
      </w:r>
    </w:p>
    <w:p w14:paraId="133CC2C6" w14:textId="16B1B5DC" w:rsidR="00EC7A51" w:rsidRPr="00EC7A51" w:rsidRDefault="00EC7A51" w:rsidP="00B939F3">
      <w:pPr>
        <w:spacing w:before="240" w:after="240" w:line="480" w:lineRule="auto"/>
        <w:ind w:firstLine="708"/>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 xml:space="preserve">El Plan de Acción resultante reconoce y respalda la idea de que cada nación debe proporcionar respuestas adecuadas a las necesidades particulares de los adolescentes y jóvenes adultos en relación con la sexualidad y las dimensiones reproductivas, abordándolas desde la </w:t>
      </w:r>
      <w:r w:rsidRPr="00EC7A51">
        <w:rPr>
          <w:rFonts w:ascii="Times New Roman" w:eastAsia="Times New Roman" w:hAnsi="Times New Roman" w:cs="Times New Roman"/>
          <w:sz w:val="24"/>
          <w:szCs w:val="24"/>
        </w:rPr>
        <w:lastRenderedPageBreak/>
        <w:t>perspectiva de los derechos humanos, sexuales y reproductivos, y no solo desde la de riesgo o enfermedad. Más allá de la salud sexual y reproductiva, ahora se entiende que el desarrollo y el bienestar de los adolescentes, incluyendo su sexualidad, están influenciados por su entorno personal, familiar, social y cultural.</w:t>
      </w:r>
    </w:p>
    <w:p w14:paraId="77F95768" w14:textId="50B35CEF" w:rsidR="00EC7A51" w:rsidRPr="00EC7A51" w:rsidRDefault="00EC7A51" w:rsidP="00B939F3">
      <w:pPr>
        <w:spacing w:before="240" w:after="240" w:line="480" w:lineRule="auto"/>
        <w:ind w:left="851" w:firstLine="709"/>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En la Conferencia del Milenio en 2000, la salud sexual y reproductiva fue mencionada como uno de los problemas más significativos que enfrenta la humanidad y una medida del desarrollo de un país. Como resultado, desglosa su objetivo principal de eliminar la pobreza en objetivos más pequeños y manejables como fomentar embarazos saludables, prevención del VIH/SIDA, igualdad de género, que incluye poner fin a la violencia y/o discriminación contra las mujeres, y educación primaria para todos los niños</w:t>
      </w:r>
      <w:r>
        <w:rPr>
          <w:rFonts w:ascii="Times New Roman" w:eastAsia="Times New Roman" w:hAnsi="Times New Roman" w:cs="Times New Roman"/>
          <w:sz w:val="24"/>
          <w:szCs w:val="24"/>
        </w:rPr>
        <w:t>.</w:t>
      </w:r>
      <w:r w:rsidRPr="00EC7A51">
        <w:rPr>
          <w:rFonts w:ascii="Times New Roman" w:eastAsia="Times New Roman" w:hAnsi="Times New Roman" w:cs="Times New Roman"/>
          <w:sz w:val="24"/>
          <w:szCs w:val="24"/>
        </w:rPr>
        <w:t xml:space="preserve"> (Palacios, 2008).</w:t>
      </w:r>
    </w:p>
    <w:p w14:paraId="628AF28A" w14:textId="6CE48AE7" w:rsidR="00EC7A51" w:rsidRPr="00EC7A51" w:rsidRDefault="00EC7A51" w:rsidP="00B939F3">
      <w:pPr>
        <w:spacing w:before="240" w:after="240" w:line="480" w:lineRule="auto"/>
        <w:ind w:firstLine="708"/>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El grado en que un país asegura que sus niños, adolescentes, jóvenes y adultos puedan construir sus experiencias de sexualidad de una manera saludable, independiente y enriquecedora puede ser utilizado para medir el avance de la nación en la protección y garantía de los derechos humanos, así como en la promoción de entornos para el desarrollo sostenible y humanizador.</w:t>
      </w:r>
    </w:p>
    <w:p w14:paraId="7279CBA2" w14:textId="02734488" w:rsidR="00EC7A51" w:rsidRPr="00EC7A51" w:rsidRDefault="00EC7A51" w:rsidP="00B939F3">
      <w:pPr>
        <w:spacing w:before="240" w:after="240" w:line="480" w:lineRule="auto"/>
        <w:ind w:left="851" w:firstLine="709"/>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 xml:space="preserve">Debido a que protege y defiende los derechos sexuales y reproductivos, que son los medios por los cuales se satisfacen todos los demás derechos humanos en el ámbito de la sexualidad, este marco global reconoce que promover la salud sexual y reproductiva es crucial para el desarrollo tanto de los individuos como de la sociedad. Los principios rectores tanto de los derechos sexuales y reproductivos como de los derechos humanos son la dignidad, la libertad y la igualdad. Basados en un </w:t>
      </w:r>
      <w:r w:rsidRPr="00EC7A51">
        <w:rPr>
          <w:rFonts w:ascii="Times New Roman" w:eastAsia="Times New Roman" w:hAnsi="Times New Roman" w:cs="Times New Roman"/>
          <w:sz w:val="24"/>
          <w:szCs w:val="24"/>
        </w:rPr>
        <w:lastRenderedPageBreak/>
        <w:t>conocimiento de sus propios derechos, así como los derechos de los demás a su alrededor, estos principios se traducen en la capacidad de cada individuo para construir y desarrollar su propia identidad sexual, así como los medios para experimentar su sexualidad de manera autónoma</w:t>
      </w:r>
      <w:r>
        <w:rPr>
          <w:rFonts w:ascii="Times New Roman" w:eastAsia="Times New Roman" w:hAnsi="Times New Roman" w:cs="Times New Roman"/>
          <w:sz w:val="24"/>
          <w:szCs w:val="24"/>
        </w:rPr>
        <w:t>.</w:t>
      </w:r>
      <w:r w:rsidRPr="00EC7A51">
        <w:rPr>
          <w:rFonts w:ascii="Times New Roman" w:eastAsia="Times New Roman" w:hAnsi="Times New Roman" w:cs="Times New Roman"/>
          <w:sz w:val="24"/>
          <w:szCs w:val="24"/>
        </w:rPr>
        <w:t xml:space="preserve"> (Palacios, 2008)</w:t>
      </w:r>
      <w:r>
        <w:rPr>
          <w:rFonts w:ascii="Times New Roman" w:eastAsia="Times New Roman" w:hAnsi="Times New Roman" w:cs="Times New Roman"/>
          <w:sz w:val="24"/>
          <w:szCs w:val="24"/>
        </w:rPr>
        <w:t>.</w:t>
      </w:r>
    </w:p>
    <w:p w14:paraId="1234BDBC" w14:textId="77777777" w:rsidR="00EC7A51" w:rsidRDefault="00EC7A51" w:rsidP="00B939F3">
      <w:pPr>
        <w:spacing w:before="240" w:after="240" w:line="480" w:lineRule="auto"/>
        <w:ind w:firstLine="708"/>
        <w:rPr>
          <w:rFonts w:ascii="Times New Roman" w:eastAsia="Times New Roman" w:hAnsi="Times New Roman" w:cs="Times New Roman"/>
          <w:sz w:val="24"/>
          <w:szCs w:val="24"/>
        </w:rPr>
      </w:pPr>
      <w:r w:rsidRPr="00EC7A51">
        <w:rPr>
          <w:rFonts w:ascii="Times New Roman" w:eastAsia="Times New Roman" w:hAnsi="Times New Roman" w:cs="Times New Roman"/>
          <w:sz w:val="24"/>
          <w:szCs w:val="24"/>
        </w:rPr>
        <w:t>El derecho a la educación e información sexual, el derecho a la privacidad, la independencia, la integridad y la dignidad, y el derecho a estar libre de coerción y violencia son algunos ejemplos de derechos sexuales y reproductivos. Estos derechos están disponibles para todas las personas, independientemente de su edad, género, preferencia sexual o estado civil.</w:t>
      </w:r>
    </w:p>
    <w:p w14:paraId="075DA7B1" w14:textId="39E23CE8" w:rsidR="0037138C" w:rsidRDefault="00D3109B" w:rsidP="00B939F3">
      <w:pPr>
        <w:pStyle w:val="Ttulo2"/>
        <w:spacing w:line="480" w:lineRule="auto"/>
        <w:rPr>
          <w:rFonts w:ascii="Times New Roman" w:eastAsia="Times New Roman" w:hAnsi="Times New Roman" w:cs="Times New Roman"/>
          <w:b/>
          <w:color w:val="000000"/>
          <w:sz w:val="24"/>
          <w:szCs w:val="24"/>
        </w:rPr>
      </w:pPr>
      <w:bookmarkStart w:id="22" w:name="_Toc134376644"/>
      <w:bookmarkEnd w:id="20"/>
      <w:r>
        <w:rPr>
          <w:rFonts w:ascii="Times New Roman" w:eastAsia="Times New Roman" w:hAnsi="Times New Roman" w:cs="Times New Roman"/>
          <w:b/>
          <w:color w:val="000000"/>
          <w:sz w:val="24"/>
          <w:szCs w:val="24"/>
        </w:rPr>
        <w:t>1.</w:t>
      </w:r>
      <w:r w:rsidR="00961B76">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w:t>
      </w:r>
      <w:r w:rsidR="00961B76">
        <w:rPr>
          <w:rFonts w:ascii="Times New Roman" w:eastAsia="Times New Roman" w:hAnsi="Times New Roman" w:cs="Times New Roman"/>
          <w:b/>
          <w:color w:val="000000"/>
          <w:sz w:val="24"/>
          <w:szCs w:val="24"/>
        </w:rPr>
        <w:t>1.</w:t>
      </w:r>
      <w:r w:rsidR="0037138C">
        <w:rPr>
          <w:rFonts w:ascii="Times New Roman" w:eastAsia="Times New Roman" w:hAnsi="Times New Roman" w:cs="Times New Roman"/>
          <w:b/>
          <w:color w:val="000000"/>
          <w:sz w:val="24"/>
          <w:szCs w:val="24"/>
        </w:rPr>
        <w:t xml:space="preserve"> Derecho a la integridad, libertad y formación sexual</w:t>
      </w:r>
      <w:bookmarkEnd w:id="22"/>
      <w:r w:rsidR="0037138C">
        <w:rPr>
          <w:rFonts w:ascii="Times New Roman" w:eastAsia="Times New Roman" w:hAnsi="Times New Roman" w:cs="Times New Roman"/>
          <w:b/>
          <w:color w:val="000000"/>
          <w:sz w:val="24"/>
          <w:szCs w:val="24"/>
        </w:rPr>
        <w:t xml:space="preserve"> </w:t>
      </w:r>
    </w:p>
    <w:p w14:paraId="1DD31C65" w14:textId="25BF89F2" w:rsidR="006457DB" w:rsidRPr="006457DB" w:rsidRDefault="006457DB" w:rsidP="00B939F3">
      <w:pPr>
        <w:spacing w:before="240" w:after="240" w:line="480" w:lineRule="auto"/>
        <w:ind w:firstLine="708"/>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La Política Nacional de Salud Sexual y Reproductiva es uno de los marcos legislativos que reconoce el derecho a la educación sexual integral como uno de los derechos sexuales y reproductivos de los colombianos.</w:t>
      </w:r>
    </w:p>
    <w:p w14:paraId="4221691E" w14:textId="54191003" w:rsidR="006457DB" w:rsidRPr="006457DB" w:rsidRDefault="006457DB" w:rsidP="00B939F3">
      <w:pPr>
        <w:spacing w:before="240" w:after="240" w:line="480" w:lineRule="auto"/>
        <w:ind w:left="851" w:firstLine="709"/>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El proceso de adquisición y transformación de conocimientos, actitudes y creencias sobre la sexualidad en todas sus manifestaciones, incluyendo los aspectos reproductivos y biológicos, así como todo el erotismo, la identidad y las representaciones sociales que la acompañan, es lo que se denomina educación sexual. (Corona y Ortiz, 2003).</w:t>
      </w:r>
    </w:p>
    <w:p w14:paraId="7299BE12" w14:textId="756F7352" w:rsidR="006457DB" w:rsidRPr="006457DB" w:rsidRDefault="006457DB" w:rsidP="00B939F3">
      <w:pPr>
        <w:spacing w:before="240" w:after="240" w:line="480" w:lineRule="auto"/>
        <w:ind w:firstLine="708"/>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 xml:space="preserve">La educación sexual es un proceso de toda la vida que comienza en el nacimiento, al igual que la sexualidad misma. Por ejemplo, puede ocurrir a través de las costumbres y la cultura (la socialización de creencias, actitudes y comportamientos compartidos por un grupo </w:t>
      </w:r>
      <w:r w:rsidRPr="006457DB">
        <w:rPr>
          <w:rFonts w:ascii="Times New Roman" w:eastAsia="Times New Roman" w:hAnsi="Times New Roman" w:cs="Times New Roman"/>
          <w:sz w:val="24"/>
          <w:szCs w:val="24"/>
        </w:rPr>
        <w:lastRenderedPageBreak/>
        <w:t>social o por la sociedad en su conjunto) o de manera metódica y deliberada, con metas y objetivos predefinidos, en instituciones educativas que se centran específicamente en la educación sexual.</w:t>
      </w:r>
    </w:p>
    <w:p w14:paraId="7E51504A" w14:textId="6EA7E8E0" w:rsidR="006457DB" w:rsidRPr="006457DB" w:rsidRDefault="006457DB" w:rsidP="00B939F3">
      <w:pPr>
        <w:spacing w:before="240" w:after="240" w:line="480" w:lineRule="auto"/>
        <w:ind w:left="851" w:firstLine="709"/>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En el hogar, en el aula y en todos los demás entornos institucionales y sociales, la sexualidad siempre se está enseñando, ya sea que uno sea consciente de ello o no, de manera explícita o implícita, de manera efectiva o no, y de una buena manera o de una terrible. No importa si uno quiere educar la sexualidad en este sentido o no. El mejor curso de acción es tener la información necesaria para un encuentro sexual que sea saludable, responsable, informado y gratificante. (Corona y Ortiz, 2003).</w:t>
      </w:r>
    </w:p>
    <w:p w14:paraId="6C0869FA" w14:textId="55333875" w:rsidR="006457DB" w:rsidRPr="006457DB" w:rsidRDefault="006457DB" w:rsidP="00B939F3">
      <w:pPr>
        <w:spacing w:before="240" w:after="240" w:line="480" w:lineRule="auto"/>
        <w:ind w:firstLine="708"/>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La difusión de conocimientos y hechos sobre la sexualidad y la reproducción es sólo un aspecto de la educación sexual. Enseñar a los niños sobre las diferencias biológicas entre hombres y mujeres o cómo evitar quedar embarazada es insuficiente. La educación sexual intenta proporcionar a los jóvenes las habilidades cognitivas, actitudinales, lingüísticas y evaluativas que necesitan para tomar decisiones sobre su sexualidad que sean congruentes con sus metas, objetivos y expectativas para su realidad.</w:t>
      </w:r>
    </w:p>
    <w:p w14:paraId="55413123" w14:textId="64633B41" w:rsidR="006457DB" w:rsidRPr="006457DB" w:rsidRDefault="006457DB"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457DB">
        <w:rPr>
          <w:rFonts w:ascii="Times New Roman" w:eastAsia="Times New Roman" w:hAnsi="Times New Roman" w:cs="Times New Roman"/>
          <w:sz w:val="24"/>
          <w:szCs w:val="24"/>
        </w:rPr>
        <w:t>La educación sexual debe ser proporcionada a los niños, adolescentes y al público en general y ser vista como un derecho humano básico. La sexualidad no puede quedar fuera de la educación integral ya que es algo que se puede enseñar y es una parte del potencial humano que debe ser desarrollado en niños y adolescentes</w:t>
      </w:r>
      <w:r>
        <w:rPr>
          <w:rFonts w:ascii="Times New Roman" w:eastAsia="Times New Roman" w:hAnsi="Times New Roman" w:cs="Times New Roman"/>
          <w:sz w:val="24"/>
          <w:szCs w:val="24"/>
        </w:rPr>
        <w:t xml:space="preserve">”. </w:t>
      </w:r>
      <w:r w:rsidRPr="006457DB">
        <w:rPr>
          <w:rFonts w:ascii="Times New Roman" w:eastAsia="Times New Roman" w:hAnsi="Times New Roman" w:cs="Times New Roman"/>
          <w:sz w:val="24"/>
          <w:szCs w:val="24"/>
        </w:rPr>
        <w:t>(Corona y Ortiz, 2003).</w:t>
      </w:r>
    </w:p>
    <w:p w14:paraId="3FB874BC" w14:textId="147E7A0E" w:rsidR="006457DB" w:rsidRPr="006457DB" w:rsidRDefault="006457DB" w:rsidP="00B939F3">
      <w:pPr>
        <w:spacing w:before="240" w:after="240" w:line="480" w:lineRule="auto"/>
        <w:ind w:firstLine="708"/>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 xml:space="preserve">Para abordar con éxito las preocupaciones de Colombia sobre la necesidad de enseñar y capacitar a sus niños, adolescentes y jóvenes en sexualidad, el Ministerio de Educación </w:t>
      </w:r>
      <w:r w:rsidRPr="006457DB">
        <w:rPr>
          <w:rFonts w:ascii="Times New Roman" w:eastAsia="Times New Roman" w:hAnsi="Times New Roman" w:cs="Times New Roman"/>
          <w:sz w:val="24"/>
          <w:szCs w:val="24"/>
        </w:rPr>
        <w:lastRenderedPageBreak/>
        <w:t>Nacional fundó el PESCC en colaboración con el Fondo de Población de las Naciones Unidas. Esto se hace para abordar problemas específicos de salud sexual como el embarazo adolescente, las ETS y el VIH, así como para garantizar que todos vivan en una sociedad segura y saludable.</w:t>
      </w:r>
    </w:p>
    <w:p w14:paraId="37E9E29A" w14:textId="7C71E30E" w:rsidR="0037138C" w:rsidRDefault="006457DB" w:rsidP="00B939F3">
      <w:pPr>
        <w:spacing w:before="240" w:after="240" w:line="480" w:lineRule="auto"/>
        <w:ind w:firstLine="708"/>
        <w:rPr>
          <w:rFonts w:ascii="Times New Roman" w:eastAsia="Times New Roman" w:hAnsi="Times New Roman" w:cs="Times New Roman"/>
          <w:sz w:val="24"/>
          <w:szCs w:val="24"/>
        </w:rPr>
      </w:pPr>
      <w:r w:rsidRPr="006457DB">
        <w:rPr>
          <w:rFonts w:ascii="Times New Roman" w:eastAsia="Times New Roman" w:hAnsi="Times New Roman" w:cs="Times New Roman"/>
          <w:sz w:val="24"/>
          <w:szCs w:val="24"/>
        </w:rPr>
        <w:t xml:space="preserve">A modo de conclusión, Colombia ha hecho grandes avances en garantizar condiciones favorables para el desarrollo de niños y adolescentes a través de la implementación de un programa nacional de educación sexual y desarrollo de la ciudadanía. </w:t>
      </w:r>
    </w:p>
    <w:p w14:paraId="22A6F55B" w14:textId="4B098A10" w:rsidR="0037138C" w:rsidRDefault="00D3109B" w:rsidP="00B939F3">
      <w:pPr>
        <w:pStyle w:val="Ttulo2"/>
        <w:spacing w:line="480" w:lineRule="auto"/>
        <w:rPr>
          <w:rFonts w:ascii="Times New Roman" w:eastAsia="Times New Roman" w:hAnsi="Times New Roman" w:cs="Times New Roman"/>
          <w:b/>
          <w:color w:val="000000"/>
          <w:sz w:val="24"/>
          <w:szCs w:val="24"/>
        </w:rPr>
      </w:pPr>
      <w:bookmarkStart w:id="23" w:name="_Toc134376645"/>
      <w:r>
        <w:rPr>
          <w:rFonts w:ascii="Times New Roman" w:eastAsia="Times New Roman" w:hAnsi="Times New Roman" w:cs="Times New Roman"/>
          <w:b/>
          <w:color w:val="000000"/>
          <w:sz w:val="24"/>
          <w:szCs w:val="24"/>
        </w:rPr>
        <w:t>1.9.</w:t>
      </w:r>
      <w:r w:rsidR="00961B76">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37138C">
        <w:rPr>
          <w:rFonts w:ascii="Times New Roman" w:eastAsia="Times New Roman" w:hAnsi="Times New Roman" w:cs="Times New Roman"/>
          <w:b/>
          <w:color w:val="000000"/>
          <w:sz w:val="24"/>
          <w:szCs w:val="24"/>
        </w:rPr>
        <w:t xml:space="preserve">  Puntos clave para el fortalecimiento del bienestar de los adolescentes</w:t>
      </w:r>
      <w:bookmarkEnd w:id="23"/>
    </w:p>
    <w:p w14:paraId="64A4EDDB" w14:textId="7BD661EA" w:rsidR="00CF3AE1" w:rsidRPr="00CF3AE1" w:rsidRDefault="00CF3AE1" w:rsidP="00B939F3">
      <w:pPr>
        <w:spacing w:before="240" w:after="240" w:line="480" w:lineRule="auto"/>
        <w:ind w:firstLine="708"/>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 xml:space="preserve">En una sociedad ideal, se respetarían y protegerían los derechos de los niños y adolescentes. La implicación en la vida cívica brinda a los jóvenes de nuestra comunidad la mejor oportunidad para alcanzar su máximo potencial, expresarse libremente y que se consideren sus ideas. Además, están libres de pobreza, delincuencia violenta o prejuicios raciales. </w:t>
      </w:r>
      <w:proofErr w:type="spellStart"/>
      <w:r w:rsidRPr="00CF3AE1">
        <w:rPr>
          <w:rFonts w:ascii="Times New Roman" w:eastAsia="Times New Roman" w:hAnsi="Times New Roman" w:cs="Times New Roman"/>
          <w:sz w:val="24"/>
          <w:szCs w:val="24"/>
        </w:rPr>
        <w:t>Thoraya</w:t>
      </w:r>
      <w:proofErr w:type="spellEnd"/>
      <w:r w:rsidRPr="00CF3AE1">
        <w:rPr>
          <w:rFonts w:ascii="Times New Roman" w:eastAsia="Times New Roman" w:hAnsi="Times New Roman" w:cs="Times New Roman"/>
          <w:sz w:val="24"/>
          <w:szCs w:val="24"/>
        </w:rPr>
        <w:t xml:space="preserve"> </w:t>
      </w:r>
      <w:proofErr w:type="spellStart"/>
      <w:r w:rsidRPr="00CF3AE1">
        <w:rPr>
          <w:rFonts w:ascii="Times New Roman" w:eastAsia="Times New Roman" w:hAnsi="Times New Roman" w:cs="Times New Roman"/>
          <w:sz w:val="24"/>
          <w:szCs w:val="24"/>
        </w:rPr>
        <w:t>Obaid</w:t>
      </w:r>
      <w:proofErr w:type="spellEnd"/>
      <w:r w:rsidRPr="00CF3AE1">
        <w:rPr>
          <w:rFonts w:ascii="Times New Roman" w:eastAsia="Times New Roman" w:hAnsi="Times New Roman" w:cs="Times New Roman"/>
          <w:sz w:val="24"/>
          <w:szCs w:val="24"/>
        </w:rPr>
        <w:t xml:space="preserve"> es la directora ejecutiva del Fondo de Población de las Naciones Unidas.</w:t>
      </w:r>
    </w:p>
    <w:p w14:paraId="62B6933C" w14:textId="7B7C5C54" w:rsidR="00CF3AE1" w:rsidRPr="00CF3AE1" w:rsidRDefault="00CF3AE1" w:rsidP="00B939F3">
      <w:pPr>
        <w:spacing w:before="240" w:after="240" w:line="480" w:lineRule="auto"/>
        <w:ind w:firstLine="708"/>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El Fondo de Población de las Naciones Unidas ha establecido un marco de acción que consta de cuatro "claves" para orientar y fortalecer el trabajo por el bienestar de los adolescentes como parte de su misión de promover el desarrollo de adolescentes, jóvenes, mujeres y hombres, fomentando sus derechos sexuales y reproductivos y la igualdad de género</w:t>
      </w:r>
      <w:r>
        <w:rPr>
          <w:rFonts w:ascii="Times New Roman" w:eastAsia="Times New Roman" w:hAnsi="Times New Roman" w:cs="Times New Roman"/>
          <w:sz w:val="24"/>
          <w:szCs w:val="24"/>
        </w:rPr>
        <w:t>:</w:t>
      </w:r>
    </w:p>
    <w:p w14:paraId="113B54AB" w14:textId="77777777" w:rsidR="00CF3AE1" w:rsidRPr="00CF3AE1" w:rsidRDefault="00CF3AE1" w:rsidP="00B939F3">
      <w:pPr>
        <w:pStyle w:val="Prrafodelista"/>
        <w:numPr>
          <w:ilvl w:val="0"/>
          <w:numId w:val="19"/>
        </w:numPr>
        <w:spacing w:before="240" w:after="240" w:line="480" w:lineRule="auto"/>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 xml:space="preserve">La primera clave es la adopción de políticas públicas amigables para niños y adolescentes, lo que requiere modificar las iniciativas de desarrollo y reducción </w:t>
      </w:r>
      <w:r w:rsidRPr="00CF3AE1">
        <w:rPr>
          <w:rFonts w:ascii="Times New Roman" w:eastAsia="Times New Roman" w:hAnsi="Times New Roman" w:cs="Times New Roman"/>
          <w:sz w:val="24"/>
          <w:szCs w:val="24"/>
        </w:rPr>
        <w:lastRenderedPageBreak/>
        <w:t>de la pobreza para considerar y reflejar la singularidad y diversidad de este grupo de edad (Fondo de Población de las Naciones Unidas, 2007).</w:t>
      </w:r>
    </w:p>
    <w:p w14:paraId="2C2BDEDE" w14:textId="77777777" w:rsidR="00CF3AE1" w:rsidRPr="00CF3AE1" w:rsidRDefault="00CF3AE1" w:rsidP="00B939F3">
      <w:pPr>
        <w:spacing w:before="240" w:after="240" w:line="480" w:lineRule="auto"/>
        <w:ind w:firstLine="708"/>
        <w:rPr>
          <w:rFonts w:ascii="Times New Roman" w:eastAsia="Times New Roman" w:hAnsi="Times New Roman" w:cs="Times New Roman"/>
          <w:sz w:val="24"/>
          <w:szCs w:val="24"/>
        </w:rPr>
      </w:pPr>
    </w:p>
    <w:p w14:paraId="0341E867" w14:textId="49E48990" w:rsidR="00CF3AE1" w:rsidRPr="00503329" w:rsidRDefault="00CF3AE1" w:rsidP="00B939F3">
      <w:pPr>
        <w:pStyle w:val="Prrafodelista"/>
        <w:numPr>
          <w:ilvl w:val="0"/>
          <w:numId w:val="19"/>
        </w:numPr>
        <w:spacing w:before="240" w:after="240" w:line="480" w:lineRule="auto"/>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La segunda clave es el desarrollo de la educación en habilidades para la vida, que ayuda a hombres y mujeres a aplicar los conocimientos, puntos de vista y creencias que están intrínsecamente vinculados a la expresión de su sexualidad y sus derechos (Fondo de Población de las Naciones Unidas, 2007).</w:t>
      </w:r>
    </w:p>
    <w:p w14:paraId="6E6F7C66" w14:textId="70B9E8F2" w:rsidR="00CF3AE1" w:rsidRPr="00CF3AE1" w:rsidRDefault="00CF3AE1" w:rsidP="00B939F3">
      <w:pPr>
        <w:spacing w:before="240" w:after="240" w:line="480" w:lineRule="auto"/>
        <w:ind w:firstLine="708"/>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 xml:space="preserve">El manejo de la presión de los pares y el desarrollo de habilidades sociales (para interacciones interpersonales, comunicación, empatía, colaboración y trabajo en equipo) son aspectos adicionales del desarrollo de habilidades. Las </w:t>
      </w:r>
      <w:r w:rsidR="00503329">
        <w:rPr>
          <w:rFonts w:ascii="Times New Roman" w:eastAsia="Times New Roman" w:hAnsi="Times New Roman" w:cs="Times New Roman"/>
          <w:sz w:val="24"/>
          <w:szCs w:val="24"/>
        </w:rPr>
        <w:t xml:space="preserve">destrezas </w:t>
      </w:r>
      <w:r w:rsidRPr="00CF3AE1">
        <w:rPr>
          <w:rFonts w:ascii="Times New Roman" w:eastAsia="Times New Roman" w:hAnsi="Times New Roman" w:cs="Times New Roman"/>
          <w:sz w:val="24"/>
          <w:szCs w:val="24"/>
        </w:rPr>
        <w:t>de pensamiento incluyen cosas como el autocuidado, la toma de decisiones, el uso del pensamiento crítico y creativo, y la formulación de objetivos y planes de acción.</w:t>
      </w:r>
    </w:p>
    <w:p w14:paraId="3013AD9E" w14:textId="7304A474" w:rsidR="00CF3AE1" w:rsidRPr="00CF3AE1" w:rsidRDefault="00CF3AE1" w:rsidP="00B939F3">
      <w:pPr>
        <w:spacing w:before="240" w:after="240" w:line="480" w:lineRule="auto"/>
        <w:ind w:firstLine="708"/>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Si se van a desarrollar sexualidades robustas y enriquecidas que fomenten relaciones alegres y saludables entre los sexos, los niños y las niñas deben ser tratados por igual. Para comprender sus derechos y luchar por ellos, las mujeres deben recibir la educación y capacitación que necesitan. Los niños pueden aprender qué significa ser un hombre respetando los derechos y la igualdad de hombres y mujeres.</w:t>
      </w:r>
    </w:p>
    <w:p w14:paraId="3AFB8811" w14:textId="6026C7DA" w:rsidR="00CF3AE1" w:rsidRPr="00503329" w:rsidRDefault="00503329" w:rsidP="00B939F3">
      <w:pPr>
        <w:pStyle w:val="Prrafodelista"/>
        <w:numPr>
          <w:ilvl w:val="0"/>
          <w:numId w:val="21"/>
        </w:numPr>
        <w:spacing w:before="240" w:after="240" w:line="480" w:lineRule="auto"/>
        <w:rPr>
          <w:rFonts w:ascii="Times New Roman" w:eastAsia="Times New Roman" w:hAnsi="Times New Roman" w:cs="Times New Roman"/>
          <w:sz w:val="24"/>
          <w:szCs w:val="24"/>
        </w:rPr>
      </w:pPr>
      <w:r w:rsidRPr="00503329">
        <w:rPr>
          <w:rFonts w:ascii="Times New Roman" w:eastAsia="Times New Roman" w:hAnsi="Times New Roman" w:cs="Times New Roman"/>
          <w:sz w:val="24"/>
          <w:szCs w:val="24"/>
        </w:rPr>
        <w:t xml:space="preserve">Tercera clave: </w:t>
      </w:r>
      <w:r w:rsidR="00CF3AE1" w:rsidRPr="00503329">
        <w:rPr>
          <w:rFonts w:ascii="Times New Roman" w:eastAsia="Times New Roman" w:hAnsi="Times New Roman" w:cs="Times New Roman"/>
          <w:sz w:val="24"/>
          <w:szCs w:val="24"/>
        </w:rPr>
        <w:t xml:space="preserve">Para garantizar que todos tengan acceso a anticonceptivos, servicios de prevención del VIH, atención de salud materna y métodos de asesoramiento y orientación adecuados para las necesidades y expectativas de </w:t>
      </w:r>
      <w:r w:rsidR="00CF3AE1" w:rsidRPr="00503329">
        <w:rPr>
          <w:rFonts w:ascii="Times New Roman" w:eastAsia="Times New Roman" w:hAnsi="Times New Roman" w:cs="Times New Roman"/>
          <w:sz w:val="24"/>
          <w:szCs w:val="24"/>
        </w:rPr>
        <w:lastRenderedPageBreak/>
        <w:t>los jóvenes, la tercera clave es promover un conjunto de servicios y productos básicos de salud sexual y reproductiva.</w:t>
      </w:r>
    </w:p>
    <w:p w14:paraId="34787813" w14:textId="65B487C4" w:rsidR="00CF3AE1" w:rsidRPr="00CF3AE1" w:rsidRDefault="00CF3AE1" w:rsidP="00B939F3">
      <w:pPr>
        <w:spacing w:before="240" w:after="240" w:line="480" w:lineRule="auto"/>
        <w:ind w:firstLine="708"/>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Los pacientes adolescentes que se beneficiarán de estos derechos, sus familias y la sociedad en general deben apoyar el compromiso del gobierno de construir instalaciones de atención médica amigables para adolescentes y jóvenes.</w:t>
      </w:r>
    </w:p>
    <w:p w14:paraId="17BAC5BE" w14:textId="77777777" w:rsidR="00CF3AE1" w:rsidRPr="00CF3AE1" w:rsidRDefault="00CF3AE1" w:rsidP="00B939F3">
      <w:pPr>
        <w:pStyle w:val="Prrafodelista"/>
        <w:numPr>
          <w:ilvl w:val="0"/>
          <w:numId w:val="20"/>
        </w:numPr>
        <w:spacing w:before="240" w:after="240" w:line="480" w:lineRule="auto"/>
        <w:rPr>
          <w:rFonts w:ascii="Times New Roman" w:eastAsia="Times New Roman" w:hAnsi="Times New Roman" w:cs="Times New Roman"/>
          <w:sz w:val="24"/>
          <w:szCs w:val="24"/>
        </w:rPr>
      </w:pPr>
      <w:r w:rsidRPr="00CF3AE1">
        <w:rPr>
          <w:rFonts w:ascii="Times New Roman" w:eastAsia="Times New Roman" w:hAnsi="Times New Roman" w:cs="Times New Roman"/>
          <w:sz w:val="24"/>
          <w:szCs w:val="24"/>
        </w:rPr>
        <w:t>La cuarta clave es la participación y el liderazgo de los adolescentes. Para incluirlos en actividades de políticas y programas como la creación, implementación, seguimiento y evaluación de acciones y programas gubernamentales dirigidos a ellos, se deben desarrollar marcos institucionales. Si van a ser defensores de sus propios derechos y desarrollo, se requiere una inversión significativa en el desarrollo y capacitación del liderazgo (Fondo de Población de las Naciones Unidas, 2007).</w:t>
      </w:r>
    </w:p>
    <w:p w14:paraId="03DEB5F9" w14:textId="589336B1" w:rsidR="0063426E" w:rsidRDefault="00961B76" w:rsidP="00B939F3">
      <w:pPr>
        <w:pStyle w:val="Ttulo1"/>
        <w:spacing w:line="480" w:lineRule="auto"/>
        <w:rPr>
          <w:rFonts w:ascii="Times New Roman" w:eastAsia="Times New Roman" w:hAnsi="Times New Roman" w:cs="Times New Roman"/>
          <w:b/>
          <w:color w:val="000000"/>
          <w:sz w:val="24"/>
          <w:szCs w:val="24"/>
        </w:rPr>
      </w:pPr>
      <w:bookmarkStart w:id="24" w:name="_Toc134376646"/>
      <w:r>
        <w:rPr>
          <w:rFonts w:ascii="Times New Roman" w:eastAsia="Times New Roman" w:hAnsi="Times New Roman" w:cs="Times New Roman"/>
          <w:b/>
          <w:color w:val="000000"/>
          <w:sz w:val="24"/>
          <w:szCs w:val="24"/>
        </w:rPr>
        <w:t>1.10.</w:t>
      </w:r>
      <w:r w:rsidR="002863B9">
        <w:rPr>
          <w:rFonts w:ascii="Times New Roman" w:eastAsia="Times New Roman" w:hAnsi="Times New Roman" w:cs="Times New Roman"/>
          <w:b/>
          <w:color w:val="000000"/>
          <w:sz w:val="24"/>
          <w:szCs w:val="24"/>
        </w:rPr>
        <w:t xml:space="preserve"> </w:t>
      </w:r>
      <w:r w:rsidR="006B2674">
        <w:rPr>
          <w:rFonts w:ascii="Times New Roman" w:eastAsia="Times New Roman" w:hAnsi="Times New Roman" w:cs="Times New Roman"/>
          <w:b/>
          <w:color w:val="000000"/>
          <w:sz w:val="24"/>
          <w:szCs w:val="24"/>
        </w:rPr>
        <w:t>Aspectos criminológicos e incidencias en la víctima por la comisión del delito</w:t>
      </w:r>
      <w:bookmarkEnd w:id="24"/>
      <w:r w:rsidR="006B2674">
        <w:rPr>
          <w:rFonts w:ascii="Times New Roman" w:eastAsia="Times New Roman" w:hAnsi="Times New Roman" w:cs="Times New Roman"/>
          <w:b/>
          <w:color w:val="000000"/>
          <w:sz w:val="24"/>
          <w:szCs w:val="24"/>
        </w:rPr>
        <w:t xml:space="preserve"> </w:t>
      </w:r>
    </w:p>
    <w:p w14:paraId="03DEB5FA" w14:textId="77777777" w:rsidR="0063426E" w:rsidRDefault="0063426E" w:rsidP="00B939F3">
      <w:pPr>
        <w:spacing w:line="480" w:lineRule="auto"/>
      </w:pPr>
    </w:p>
    <w:p w14:paraId="2C454B8E" w14:textId="5BEC9A54" w:rsidR="00977022" w:rsidRPr="00977022" w:rsidRDefault="00977022" w:rsidP="00B939F3">
      <w:pPr>
        <w:spacing w:line="480" w:lineRule="auto"/>
        <w:ind w:left="851" w:firstLine="709"/>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t>El análisis de la delincuencia es el enfoque principal del campo científico de la criminología, que también se nutre de una amplia gama de otras disciplinas científicas. Con la ayuda de los recursos disponibles para la criminología, se pueden establecer todos los componentes de un acto delictivo, lo que lleva a una mayor comprensión del delito desde una variedad de puntos de vista, como desde la perspectiva social, el entorno del delincuente y la motivación detrás de sus actividades ilegales. Como resultado, la victimología avanza significativamente el campo de la criminología intelectualmente (Rodríguez, 2010).</w:t>
      </w:r>
    </w:p>
    <w:p w14:paraId="667AEF6A" w14:textId="578BDA02" w:rsidR="00977022" w:rsidRPr="00977022" w:rsidRDefault="00977022" w:rsidP="00B939F3">
      <w:pPr>
        <w:spacing w:line="480" w:lineRule="auto"/>
        <w:ind w:firstLine="708"/>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lastRenderedPageBreak/>
        <w:t xml:space="preserve">El enfoque de este capítulo específico es examinar los delitos sexuales y cómo las víctimas estuvieron involucradas en los incidentes. Debido a la importancia de estas fuentes para el trabajo y la investigación continua, se han examinado varias, incluyendo el Instituto de Medicina Legal, la Policía Nacional y la </w:t>
      </w:r>
      <w:r w:rsidR="00026B75" w:rsidRPr="00977022">
        <w:rPr>
          <w:rFonts w:ascii="Times New Roman" w:eastAsia="Times New Roman" w:hAnsi="Times New Roman" w:cs="Times New Roman"/>
          <w:sz w:val="24"/>
          <w:szCs w:val="24"/>
        </w:rPr>
        <w:t>fiscalía general</w:t>
      </w:r>
      <w:r w:rsidRPr="00977022">
        <w:rPr>
          <w:rFonts w:ascii="Times New Roman" w:eastAsia="Times New Roman" w:hAnsi="Times New Roman" w:cs="Times New Roman"/>
          <w:sz w:val="24"/>
          <w:szCs w:val="24"/>
        </w:rPr>
        <w:t>. Este capítulo debería comenzar con una revisión de los delitos sexuales, las causas de la conducta criminal, el entorno en el que ocurren, la víctima en términos de frecuencia y atención prestada a ellos, así como los métodos preventivos del delito.</w:t>
      </w:r>
    </w:p>
    <w:p w14:paraId="46C668D3" w14:textId="177BDBD4" w:rsidR="00977022" w:rsidRPr="00977022" w:rsidRDefault="00977022" w:rsidP="00B939F3">
      <w:pPr>
        <w:spacing w:line="480" w:lineRule="auto"/>
        <w:ind w:firstLine="708"/>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t>Las características de este delincuente incluyen "causar daño sexual a personas vulnerables debido a su condición física, social o psicológica" y "ser personas afectadas sociológicamente, víctimas de abuso sexual, en su mayoría personas solteras, y ocasionalmente parientes de las víctimas debido al grado de confianza que se genera y facilita la acción". En 2003, el Estado Mayor Nacional.</w:t>
      </w:r>
    </w:p>
    <w:p w14:paraId="3A6D1F03" w14:textId="1286E804" w:rsidR="00977022" w:rsidRPr="00977022" w:rsidRDefault="00977022" w:rsidP="00B939F3">
      <w:pPr>
        <w:spacing w:line="480" w:lineRule="auto"/>
        <w:ind w:firstLine="708"/>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t>Es esencial reconocer primero las ofensas que caen bajo la jurisdicción del derecho penal para guiar adecuadamente la investigación y dirigir los delitos de naturaleza sexual. Según el código penal, "acceso carnal" es la penetración del miembro viril por cualquier parte del cuerpo u objeto, incluyendo la región anal o vaginal. Para ser utilizado en la práctica, este término debe ser alterado. Entre estas modificaciones están incitar o alentar la prostitución, contacto carnal violento, contacto carnal abusivo o actos sexuales con un menor de menos de catorce años, contacto carnal abusivo o actos sexuales con una persona incapaz de resistir, y otros.</w:t>
      </w:r>
    </w:p>
    <w:p w14:paraId="78F46E18" w14:textId="00770748" w:rsidR="00977022" w:rsidRPr="00977022" w:rsidRDefault="00977022" w:rsidP="00B939F3">
      <w:pPr>
        <w:spacing w:line="480" w:lineRule="auto"/>
        <w:ind w:firstLine="708"/>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t xml:space="preserve">Las víctimas se caracterizan en la relación víctima-victimario como niños débiles e indefensos que permitieron al criminal asustarlos para que se mantuvieran en silencio sobre los hechos, según el marco conceptual de la investigación. El Gobierno Nacional debe adoptar </w:t>
      </w:r>
      <w:r w:rsidRPr="00977022">
        <w:rPr>
          <w:rFonts w:ascii="Times New Roman" w:eastAsia="Times New Roman" w:hAnsi="Times New Roman" w:cs="Times New Roman"/>
          <w:sz w:val="24"/>
          <w:szCs w:val="24"/>
        </w:rPr>
        <w:lastRenderedPageBreak/>
        <w:t>medidas preventivas centradas en la comunidad para reducir la frecuencia de los delitos sexuales. Aquí hay un problema que tiene que ser resuelto.</w:t>
      </w:r>
    </w:p>
    <w:p w14:paraId="66A57CF2" w14:textId="27E0D297" w:rsidR="00977022" w:rsidRPr="00977022" w:rsidRDefault="00977022" w:rsidP="00B939F3">
      <w:pPr>
        <w:spacing w:line="480" w:lineRule="auto"/>
        <w:ind w:left="851" w:firstLine="709"/>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t>En criminología, este incumplimiento se cuantifica. Se proporciona protección estatal a los ciudadanos, pero también tienen parte de la carga de garantizar su propia seguridad. La victimología es una fuente que se utiliza inevitablemente en el estudio del delito. También ayuda a alcanzar el objetivo del estudio, que es evaluar la frecuencia de los delitos sexuales y sus víctimas. Otro problema que está estrechamente relacionado con este estudio es la trata de personas, que se</w:t>
      </w:r>
      <w:r w:rsidR="00C235E3">
        <w:rPr>
          <w:rFonts w:ascii="Times New Roman" w:eastAsia="Times New Roman" w:hAnsi="Times New Roman" w:cs="Times New Roman"/>
          <w:sz w:val="24"/>
          <w:szCs w:val="24"/>
        </w:rPr>
        <w:t xml:space="preserve"> </w:t>
      </w:r>
      <w:r w:rsidRPr="00977022">
        <w:rPr>
          <w:rFonts w:ascii="Times New Roman" w:eastAsia="Times New Roman" w:hAnsi="Times New Roman" w:cs="Times New Roman"/>
          <w:sz w:val="24"/>
          <w:szCs w:val="24"/>
        </w:rPr>
        <w:t>clasifica como un tipo de delito sexual</w:t>
      </w:r>
      <w:r w:rsidR="00C235E3">
        <w:rPr>
          <w:rFonts w:ascii="Times New Roman" w:eastAsia="Times New Roman" w:hAnsi="Times New Roman" w:cs="Times New Roman"/>
          <w:sz w:val="24"/>
          <w:szCs w:val="24"/>
        </w:rPr>
        <w:t>.</w:t>
      </w:r>
      <w:r w:rsidRPr="00977022">
        <w:rPr>
          <w:rFonts w:ascii="Times New Roman" w:eastAsia="Times New Roman" w:hAnsi="Times New Roman" w:cs="Times New Roman"/>
          <w:sz w:val="24"/>
          <w:szCs w:val="24"/>
        </w:rPr>
        <w:t xml:space="preserve"> (Código Penal, 2000).</w:t>
      </w:r>
    </w:p>
    <w:p w14:paraId="2149D0ED" w14:textId="77777777" w:rsidR="00C235E3" w:rsidRDefault="00977022" w:rsidP="00B939F3">
      <w:pPr>
        <w:spacing w:line="480" w:lineRule="auto"/>
        <w:ind w:left="851" w:firstLine="709"/>
        <w:rPr>
          <w:rFonts w:ascii="Times New Roman" w:eastAsia="Times New Roman" w:hAnsi="Times New Roman" w:cs="Times New Roman"/>
          <w:sz w:val="24"/>
          <w:szCs w:val="24"/>
        </w:rPr>
      </w:pPr>
      <w:r w:rsidRPr="00977022">
        <w:rPr>
          <w:rFonts w:ascii="Times New Roman" w:eastAsia="Times New Roman" w:hAnsi="Times New Roman" w:cs="Times New Roman"/>
          <w:sz w:val="24"/>
          <w:szCs w:val="24"/>
        </w:rPr>
        <w:t>Para empezar, debe quedar claro que, en general, la trata de personas es una forma de esclavitud contemporánea en la que se comercia con personas independientemente de su raza, género, edad u otras características. No está claro si estas personas serán trasladadas de un lugar a otro para ser explotadas sexualmente. Es importante tener en cuenta que este delito puede cometerse de varias maneras y que incluso las víctimas pueden ser trasladadas (Policía Nacional de Colombia, 2007).</w:t>
      </w:r>
    </w:p>
    <w:p w14:paraId="7701ECA8" w14:textId="5258CB2F" w:rsidR="00CF06F1" w:rsidRPr="009B028E" w:rsidRDefault="00961B76" w:rsidP="00B939F3">
      <w:pPr>
        <w:pStyle w:val="Ttulo1"/>
        <w:spacing w:line="480" w:lineRule="auto"/>
        <w:rPr>
          <w:rFonts w:ascii="Times New Roman" w:eastAsia="Times New Roman" w:hAnsi="Times New Roman" w:cs="Times New Roman"/>
          <w:sz w:val="24"/>
          <w:szCs w:val="24"/>
        </w:rPr>
      </w:pPr>
      <w:bookmarkStart w:id="25" w:name="_Toc134376647"/>
      <w:r>
        <w:rPr>
          <w:rFonts w:ascii="Times New Roman" w:eastAsia="Times New Roman" w:hAnsi="Times New Roman" w:cs="Times New Roman"/>
          <w:b/>
          <w:bCs/>
          <w:color w:val="auto"/>
          <w:sz w:val="24"/>
          <w:szCs w:val="24"/>
        </w:rPr>
        <w:t>1.11</w:t>
      </w:r>
      <w:r w:rsidR="00CF06F1" w:rsidRPr="002863B9">
        <w:rPr>
          <w:rFonts w:ascii="Times New Roman" w:eastAsia="Times New Roman" w:hAnsi="Times New Roman" w:cs="Times New Roman"/>
          <w:b/>
          <w:bCs/>
          <w:color w:val="auto"/>
          <w:sz w:val="24"/>
          <w:szCs w:val="24"/>
        </w:rPr>
        <w:t xml:space="preserve">. </w:t>
      </w:r>
      <w:r w:rsidR="00701D57" w:rsidRPr="002863B9">
        <w:rPr>
          <w:rFonts w:ascii="Times New Roman" w:eastAsia="Times New Roman" w:hAnsi="Times New Roman" w:cs="Times New Roman"/>
          <w:b/>
          <w:bCs/>
          <w:color w:val="auto"/>
          <w:sz w:val="24"/>
          <w:szCs w:val="24"/>
        </w:rPr>
        <w:t>E</w:t>
      </w:r>
      <w:r w:rsidR="00735000" w:rsidRPr="002863B9">
        <w:rPr>
          <w:rFonts w:ascii="Times New Roman" w:eastAsia="Times New Roman" w:hAnsi="Times New Roman" w:cs="Times New Roman"/>
          <w:b/>
          <w:bCs/>
          <w:color w:val="auto"/>
          <w:sz w:val="24"/>
          <w:szCs w:val="24"/>
        </w:rPr>
        <w:t xml:space="preserve">stadística de consentimiento en delitos sexuales atendidos en el Departamento del Caquetá por la Fiscalía </w:t>
      </w:r>
      <w:r w:rsidR="00BA3872" w:rsidRPr="002863B9">
        <w:rPr>
          <w:rFonts w:ascii="Times New Roman" w:eastAsia="Times New Roman" w:hAnsi="Times New Roman" w:cs="Times New Roman"/>
          <w:b/>
          <w:bCs/>
          <w:color w:val="auto"/>
          <w:sz w:val="24"/>
          <w:szCs w:val="24"/>
        </w:rPr>
        <w:t>de la Unidad de Responsabilidad Penal para Adolescentes</w:t>
      </w:r>
      <w:bookmarkEnd w:id="25"/>
    </w:p>
    <w:p w14:paraId="11A9D43C" w14:textId="77777777" w:rsidR="00616AA1" w:rsidRPr="00616AA1" w:rsidRDefault="00616AA1" w:rsidP="00B939F3">
      <w:pPr>
        <w:spacing w:before="240" w:after="240" w:line="480" w:lineRule="auto"/>
        <w:ind w:firstLine="708"/>
        <w:rPr>
          <w:rFonts w:ascii="Times New Roman" w:eastAsia="Times New Roman" w:hAnsi="Times New Roman" w:cs="Times New Roman"/>
          <w:sz w:val="24"/>
          <w:szCs w:val="24"/>
        </w:rPr>
      </w:pPr>
      <w:r w:rsidRPr="00616AA1">
        <w:rPr>
          <w:rFonts w:ascii="Times New Roman" w:eastAsia="Times New Roman" w:hAnsi="Times New Roman" w:cs="Times New Roman"/>
          <w:sz w:val="24"/>
          <w:szCs w:val="24"/>
        </w:rPr>
        <w:t xml:space="preserve">La Fiscalía Seccional 01 de la Unidad de Responsabilidad Penal para Adolescentes de Caquetá proporcionó la siguiente información en respuesta a un derecho de petición fechado el 19 de diciembre de 2022, en relación con el número de casos presentados debido a la </w:t>
      </w:r>
      <w:r w:rsidRPr="00616AA1">
        <w:rPr>
          <w:rFonts w:ascii="Times New Roman" w:eastAsia="Times New Roman" w:hAnsi="Times New Roman" w:cs="Times New Roman"/>
          <w:sz w:val="24"/>
          <w:szCs w:val="24"/>
        </w:rPr>
        <w:lastRenderedPageBreak/>
        <w:t>atipicidad por relaciones sexuales consensuadas entre 2021 y septiembre de 2022 en el Departamento de Caquetá:</w:t>
      </w:r>
    </w:p>
    <w:p w14:paraId="3B3FBDBD" w14:textId="77777777" w:rsidR="00616AA1" w:rsidRPr="00616AA1" w:rsidRDefault="00616AA1" w:rsidP="00B939F3">
      <w:pPr>
        <w:spacing w:before="240" w:after="240" w:line="480" w:lineRule="auto"/>
        <w:ind w:firstLine="708"/>
        <w:rPr>
          <w:rFonts w:ascii="Times New Roman" w:eastAsia="Times New Roman" w:hAnsi="Times New Roman" w:cs="Times New Roman"/>
          <w:sz w:val="24"/>
          <w:szCs w:val="24"/>
        </w:rPr>
      </w:pPr>
    </w:p>
    <w:p w14:paraId="2DFD4C7B" w14:textId="3184B812" w:rsidR="00616AA1" w:rsidRPr="00616AA1" w:rsidRDefault="00616AA1" w:rsidP="00B939F3">
      <w:pPr>
        <w:spacing w:before="240" w:after="240" w:line="480" w:lineRule="auto"/>
        <w:ind w:left="851" w:firstLine="709"/>
        <w:rPr>
          <w:rFonts w:ascii="Times New Roman" w:eastAsia="Times New Roman" w:hAnsi="Times New Roman" w:cs="Times New Roman"/>
          <w:sz w:val="24"/>
          <w:szCs w:val="24"/>
        </w:rPr>
      </w:pPr>
      <w:r w:rsidRPr="00616AA1">
        <w:rPr>
          <w:rFonts w:ascii="Times New Roman" w:eastAsia="Times New Roman" w:hAnsi="Times New Roman" w:cs="Times New Roman"/>
          <w:sz w:val="24"/>
          <w:szCs w:val="24"/>
        </w:rPr>
        <w:t>Dado lo anterior, quisiera mencionar que 72 casos fueron desactivados entre septiembre de 2022 y el año 2021 en los procedimientos desarrollados por delitos que involucran actos sexuales abusivos y acceso carnal abusivo con un menor de catorce años debido a relaciones consensuadas y exploratorias, entre otros factores que no perciben la conducta como un delito (). Para confirmar esta información, se revisó el sistema de misión, SPOA (), de la fiscalía general.</w:t>
      </w:r>
      <w:r w:rsidRPr="00616AA1">
        <w:t xml:space="preserve"> </w:t>
      </w:r>
      <w:r w:rsidRPr="00616AA1">
        <w:rPr>
          <w:rFonts w:ascii="Times New Roman" w:eastAsia="Times New Roman" w:hAnsi="Times New Roman" w:cs="Times New Roman"/>
          <w:sz w:val="24"/>
          <w:szCs w:val="24"/>
        </w:rPr>
        <w:t>(fiscalía general de la Nación, 2022).</w:t>
      </w:r>
    </w:p>
    <w:p w14:paraId="638FEF2B" w14:textId="77777777" w:rsidR="00616AA1" w:rsidRDefault="00616AA1" w:rsidP="00B939F3">
      <w:pPr>
        <w:spacing w:before="240" w:after="240" w:line="480" w:lineRule="auto"/>
        <w:ind w:firstLine="708"/>
        <w:rPr>
          <w:rFonts w:ascii="Times New Roman" w:eastAsia="Times New Roman" w:hAnsi="Times New Roman" w:cs="Times New Roman"/>
          <w:sz w:val="24"/>
          <w:szCs w:val="24"/>
        </w:rPr>
      </w:pPr>
      <w:r w:rsidRPr="00616AA1">
        <w:rPr>
          <w:rFonts w:ascii="Times New Roman" w:eastAsia="Times New Roman" w:hAnsi="Times New Roman" w:cs="Times New Roman"/>
          <w:sz w:val="24"/>
          <w:szCs w:val="24"/>
        </w:rPr>
        <w:t>Dado que no existen estadísticas para el Departamento de Caquetá en el sistema penal para adultos, los datos anteriores permiten establecer no solo las interpretaciones que se pueden hacer respecto al delito, cuando se da el consentimiento, sino también el número de casos que ocurren cuando la víctima autoriza la conducta y consiente el supuesto abuso sexual.</w:t>
      </w:r>
    </w:p>
    <w:p w14:paraId="37B6BA34" w14:textId="77777777" w:rsidR="004B11A2" w:rsidRDefault="004B11A2" w:rsidP="00B939F3">
      <w:pPr>
        <w:shd w:val="clear" w:color="auto" w:fill="FFFFFF"/>
        <w:spacing w:after="0" w:line="480" w:lineRule="auto"/>
        <w:rPr>
          <w:rFonts w:ascii="Times New Roman" w:eastAsia="Times New Roman" w:hAnsi="Times New Roman" w:cs="Times New Roman"/>
          <w:sz w:val="24"/>
          <w:szCs w:val="24"/>
        </w:rPr>
      </w:pPr>
    </w:p>
    <w:p w14:paraId="6E2C3135" w14:textId="1977B4C9" w:rsidR="004B11A2" w:rsidRDefault="004B11A2" w:rsidP="00B939F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5F40D6" w14:textId="77777777" w:rsidR="004B11A2" w:rsidRPr="005519FA" w:rsidRDefault="004B11A2" w:rsidP="00B939F3">
      <w:pPr>
        <w:shd w:val="clear" w:color="auto" w:fill="FFFFFF"/>
        <w:spacing w:after="0" w:line="480" w:lineRule="auto"/>
        <w:rPr>
          <w:rFonts w:ascii="Times New Roman" w:eastAsia="Times New Roman" w:hAnsi="Times New Roman" w:cs="Times New Roman"/>
          <w:sz w:val="24"/>
          <w:szCs w:val="24"/>
        </w:rPr>
      </w:pPr>
    </w:p>
    <w:p w14:paraId="03DEB611" w14:textId="70198AD6" w:rsidR="00932B41" w:rsidRPr="00A45687" w:rsidRDefault="000B299A" w:rsidP="00B939F3">
      <w:pPr>
        <w:pStyle w:val="Ttulo1"/>
        <w:spacing w:line="480" w:lineRule="auto"/>
        <w:rPr>
          <w:rFonts w:ascii="Times New Roman" w:eastAsia="Times New Roman" w:hAnsi="Times New Roman" w:cs="Times New Roman"/>
          <w:b/>
          <w:bCs/>
          <w:color w:val="auto"/>
          <w:sz w:val="28"/>
          <w:szCs w:val="28"/>
        </w:rPr>
      </w:pPr>
      <w:bookmarkStart w:id="26" w:name="_Toc134376648"/>
      <w:r w:rsidRPr="00A45687">
        <w:rPr>
          <w:rFonts w:ascii="Times New Roman" w:eastAsia="Times New Roman" w:hAnsi="Times New Roman" w:cs="Times New Roman"/>
          <w:b/>
          <w:bCs/>
          <w:color w:val="auto"/>
          <w:sz w:val="28"/>
          <w:szCs w:val="28"/>
        </w:rPr>
        <w:t>CAP</w:t>
      </w:r>
      <w:r w:rsidR="009B5CAC">
        <w:rPr>
          <w:rFonts w:ascii="Times New Roman" w:eastAsia="Times New Roman" w:hAnsi="Times New Roman" w:cs="Times New Roman"/>
          <w:b/>
          <w:bCs/>
          <w:color w:val="auto"/>
          <w:sz w:val="28"/>
          <w:szCs w:val="28"/>
        </w:rPr>
        <w:t>Í</w:t>
      </w:r>
      <w:r w:rsidRPr="00A45687">
        <w:rPr>
          <w:rFonts w:ascii="Times New Roman" w:eastAsia="Times New Roman" w:hAnsi="Times New Roman" w:cs="Times New Roman"/>
          <w:b/>
          <w:bCs/>
          <w:color w:val="auto"/>
          <w:sz w:val="28"/>
          <w:szCs w:val="28"/>
        </w:rPr>
        <w:t xml:space="preserve">TULO </w:t>
      </w:r>
      <w:r w:rsidR="009B5CAC">
        <w:rPr>
          <w:rFonts w:ascii="Times New Roman" w:eastAsia="Times New Roman" w:hAnsi="Times New Roman" w:cs="Times New Roman"/>
          <w:b/>
          <w:bCs/>
          <w:color w:val="auto"/>
          <w:sz w:val="28"/>
          <w:szCs w:val="28"/>
        </w:rPr>
        <w:t>II</w:t>
      </w:r>
      <w:bookmarkEnd w:id="26"/>
    </w:p>
    <w:p w14:paraId="3412A9E1" w14:textId="5369B209" w:rsidR="00064031" w:rsidRPr="00A45001" w:rsidRDefault="00A45001" w:rsidP="00B939F3">
      <w:pPr>
        <w:pStyle w:val="Ttulo1"/>
        <w:spacing w:line="480" w:lineRule="auto"/>
        <w:rPr>
          <w:rFonts w:ascii="Times New Roman" w:eastAsia="Times New Roman" w:hAnsi="Times New Roman" w:cs="Times New Roman"/>
          <w:b/>
          <w:bCs/>
          <w:color w:val="auto"/>
          <w:sz w:val="28"/>
          <w:szCs w:val="28"/>
        </w:rPr>
      </w:pPr>
      <w:bookmarkStart w:id="27" w:name="_Toc134376649"/>
      <w:r w:rsidRPr="00A45001">
        <w:rPr>
          <w:rFonts w:ascii="Times New Roman" w:eastAsia="Times New Roman" w:hAnsi="Times New Roman" w:cs="Times New Roman"/>
          <w:b/>
          <w:bCs/>
          <w:color w:val="auto"/>
          <w:sz w:val="28"/>
          <w:szCs w:val="28"/>
        </w:rPr>
        <w:t xml:space="preserve">LA </w:t>
      </w:r>
      <w:r w:rsidR="003F0ABC">
        <w:rPr>
          <w:rFonts w:ascii="Times New Roman" w:eastAsia="Times New Roman" w:hAnsi="Times New Roman" w:cs="Times New Roman"/>
          <w:b/>
          <w:bCs/>
          <w:color w:val="auto"/>
          <w:sz w:val="28"/>
          <w:szCs w:val="28"/>
        </w:rPr>
        <w:t>APLICA</w:t>
      </w:r>
      <w:r w:rsidRPr="00A45001">
        <w:rPr>
          <w:rFonts w:ascii="Times New Roman" w:eastAsia="Times New Roman" w:hAnsi="Times New Roman" w:cs="Times New Roman"/>
          <w:b/>
          <w:bCs/>
          <w:color w:val="auto"/>
          <w:sz w:val="28"/>
          <w:szCs w:val="28"/>
        </w:rPr>
        <w:t xml:space="preserve">CIÓN DEL PRINCIPIO DE OPORTUNIDAD EN LOS </w:t>
      </w:r>
      <w:r w:rsidR="003F0ABC">
        <w:rPr>
          <w:rFonts w:ascii="Times New Roman" w:eastAsia="Times New Roman" w:hAnsi="Times New Roman" w:cs="Times New Roman"/>
          <w:b/>
          <w:bCs/>
          <w:color w:val="auto"/>
          <w:sz w:val="28"/>
          <w:szCs w:val="28"/>
        </w:rPr>
        <w:t>PROCES</w:t>
      </w:r>
      <w:r w:rsidR="00F370D4">
        <w:rPr>
          <w:rFonts w:ascii="Times New Roman" w:eastAsia="Times New Roman" w:hAnsi="Times New Roman" w:cs="Times New Roman"/>
          <w:b/>
          <w:bCs/>
          <w:color w:val="auto"/>
          <w:sz w:val="28"/>
          <w:szCs w:val="28"/>
        </w:rPr>
        <w:t>OS DEL SISTEMA DE RESPON</w:t>
      </w:r>
      <w:r w:rsidR="004B11A2">
        <w:rPr>
          <w:rFonts w:ascii="Times New Roman" w:eastAsia="Times New Roman" w:hAnsi="Times New Roman" w:cs="Times New Roman"/>
          <w:b/>
          <w:bCs/>
          <w:color w:val="auto"/>
          <w:sz w:val="28"/>
          <w:szCs w:val="28"/>
        </w:rPr>
        <w:t>S</w:t>
      </w:r>
      <w:r w:rsidR="00F370D4">
        <w:rPr>
          <w:rFonts w:ascii="Times New Roman" w:eastAsia="Times New Roman" w:hAnsi="Times New Roman" w:cs="Times New Roman"/>
          <w:b/>
          <w:bCs/>
          <w:color w:val="auto"/>
          <w:sz w:val="28"/>
          <w:szCs w:val="28"/>
        </w:rPr>
        <w:t>ABILIDAD PENAL PARA ADOLESCENTES</w:t>
      </w:r>
      <w:bookmarkEnd w:id="27"/>
    </w:p>
    <w:p w14:paraId="69F09491" w14:textId="77777777" w:rsidR="006A2994" w:rsidRDefault="006A2994" w:rsidP="00B939F3">
      <w:pPr>
        <w:shd w:val="clear" w:color="auto" w:fill="FFFFFF"/>
        <w:spacing w:after="0" w:line="480" w:lineRule="auto"/>
        <w:ind w:left="567" w:firstLine="709"/>
        <w:rPr>
          <w:rFonts w:ascii="Times New Roman" w:eastAsia="Times New Roman" w:hAnsi="Times New Roman" w:cs="Times New Roman"/>
          <w:i/>
          <w:sz w:val="24"/>
          <w:szCs w:val="24"/>
        </w:rPr>
      </w:pPr>
    </w:p>
    <w:p w14:paraId="603F327D" w14:textId="77777777" w:rsidR="00435B4F" w:rsidRPr="00435B4F" w:rsidRDefault="00435B4F" w:rsidP="00B939F3">
      <w:pPr>
        <w:shd w:val="clear" w:color="auto" w:fill="FFFFFF"/>
        <w:spacing w:after="0" w:line="480" w:lineRule="auto"/>
        <w:ind w:firstLine="567"/>
        <w:rPr>
          <w:rFonts w:ascii="Times New Roman" w:eastAsia="Times New Roman" w:hAnsi="Times New Roman" w:cs="Times New Roman"/>
          <w:sz w:val="24"/>
          <w:szCs w:val="24"/>
        </w:rPr>
      </w:pPr>
      <w:r w:rsidRPr="00435B4F">
        <w:rPr>
          <w:rFonts w:ascii="Times New Roman" w:eastAsia="Times New Roman" w:hAnsi="Times New Roman" w:cs="Times New Roman"/>
          <w:sz w:val="24"/>
          <w:szCs w:val="24"/>
        </w:rPr>
        <w:t>La sentencia T-142 de 2019 de la Corte Constitucional, que amplía las interpretaciones de la regla de presunción iuris et de iure que rige los delitos sexuales contra menores de 14 años, debe ser revisada para comprender completamente este punto, ya que examina la no aplicación de la subrogación y los beneficios penales para aquellos que cometen estos delitos con el fin de aplicar el principio de oportunidad.</w:t>
      </w:r>
    </w:p>
    <w:p w14:paraId="7380DCB1" w14:textId="77777777" w:rsidR="00435B4F" w:rsidRPr="00435B4F" w:rsidRDefault="00435B4F" w:rsidP="00B939F3">
      <w:pPr>
        <w:shd w:val="clear" w:color="auto" w:fill="FFFFFF"/>
        <w:spacing w:after="0" w:line="480" w:lineRule="auto"/>
        <w:ind w:firstLine="567"/>
        <w:rPr>
          <w:rFonts w:ascii="Times New Roman" w:eastAsia="Times New Roman" w:hAnsi="Times New Roman" w:cs="Times New Roman"/>
          <w:sz w:val="24"/>
          <w:szCs w:val="24"/>
        </w:rPr>
      </w:pPr>
    </w:p>
    <w:p w14:paraId="4DF5853B" w14:textId="50DEFC02" w:rsidR="00435B4F" w:rsidRPr="00435B4F" w:rsidRDefault="00435B4F" w:rsidP="00B939F3">
      <w:pPr>
        <w:shd w:val="clear" w:color="auto" w:fill="FFFFFF"/>
        <w:spacing w:after="0" w:line="480" w:lineRule="auto"/>
        <w:ind w:left="851" w:firstLine="567"/>
        <w:rPr>
          <w:rFonts w:ascii="Times New Roman" w:eastAsia="Times New Roman" w:hAnsi="Times New Roman" w:cs="Times New Roman"/>
          <w:sz w:val="24"/>
          <w:szCs w:val="24"/>
        </w:rPr>
      </w:pPr>
      <w:r w:rsidRPr="00435B4F">
        <w:rPr>
          <w:rFonts w:ascii="Times New Roman" w:eastAsia="Times New Roman" w:hAnsi="Times New Roman" w:cs="Times New Roman"/>
          <w:sz w:val="24"/>
          <w:szCs w:val="24"/>
        </w:rPr>
        <w:t>(i) Es una idea que se pone en práctica por las leyes procesales, como las preclusiones emitidas por la fiscalía durante la conciliación, la compensación total, el abandono, la transacción, o utilizándola en la sentencia prevista o audiencia especial;</w:t>
      </w:r>
    </w:p>
    <w:p w14:paraId="5C943BDA" w14:textId="492016FE" w:rsidR="00435B4F" w:rsidRPr="00435B4F" w:rsidRDefault="00435B4F" w:rsidP="00B939F3">
      <w:pPr>
        <w:shd w:val="clear" w:color="auto" w:fill="FFFFFF"/>
        <w:spacing w:after="0" w:line="480" w:lineRule="auto"/>
        <w:ind w:left="851" w:firstLine="567"/>
        <w:rPr>
          <w:rFonts w:ascii="Times New Roman" w:eastAsia="Times New Roman" w:hAnsi="Times New Roman" w:cs="Times New Roman"/>
          <w:sz w:val="24"/>
          <w:szCs w:val="24"/>
        </w:rPr>
      </w:pPr>
      <w:r w:rsidRPr="00435B4F">
        <w:rPr>
          <w:rFonts w:ascii="Times New Roman" w:eastAsia="Times New Roman" w:hAnsi="Times New Roman" w:cs="Times New Roman"/>
          <w:sz w:val="24"/>
          <w:szCs w:val="24"/>
        </w:rPr>
        <w:t>(ii) se describe como "un mecanismo adecuado para canalizar la selectividad espontánea de cualquier sistema penal";</w:t>
      </w:r>
    </w:p>
    <w:p w14:paraId="64858990" w14:textId="5C0DBDED" w:rsidR="00435B4F" w:rsidRPr="00435B4F" w:rsidRDefault="00435B4F" w:rsidP="00B939F3">
      <w:pPr>
        <w:shd w:val="clear" w:color="auto" w:fill="FFFFFF"/>
        <w:spacing w:after="0" w:line="480" w:lineRule="auto"/>
        <w:ind w:left="851" w:firstLine="567"/>
        <w:rPr>
          <w:rFonts w:ascii="Times New Roman" w:eastAsia="Times New Roman" w:hAnsi="Times New Roman" w:cs="Times New Roman"/>
          <w:sz w:val="24"/>
          <w:szCs w:val="24"/>
        </w:rPr>
      </w:pPr>
      <w:r w:rsidRPr="00435B4F">
        <w:rPr>
          <w:rFonts w:ascii="Times New Roman" w:eastAsia="Times New Roman" w:hAnsi="Times New Roman" w:cs="Times New Roman"/>
          <w:sz w:val="24"/>
          <w:szCs w:val="24"/>
        </w:rPr>
        <w:t>(iii) Permite simplificar, acelerar y mejorar la administración de la justicia penal mientras se deshace de las infracciones pequeñas y moderadas;</w:t>
      </w:r>
    </w:p>
    <w:p w14:paraId="71FB5757" w14:textId="40E637CC" w:rsidR="00435B4F" w:rsidRPr="00435B4F" w:rsidRDefault="00435B4F" w:rsidP="00B939F3">
      <w:pPr>
        <w:shd w:val="clear" w:color="auto" w:fill="FFFFFF"/>
        <w:spacing w:after="0" w:line="480" w:lineRule="auto"/>
        <w:ind w:left="851" w:firstLine="567"/>
        <w:rPr>
          <w:rFonts w:ascii="Times New Roman" w:eastAsia="Times New Roman" w:hAnsi="Times New Roman" w:cs="Times New Roman"/>
          <w:sz w:val="24"/>
          <w:szCs w:val="24"/>
        </w:rPr>
      </w:pPr>
      <w:r w:rsidRPr="00435B4F">
        <w:rPr>
          <w:rFonts w:ascii="Times New Roman" w:eastAsia="Times New Roman" w:hAnsi="Times New Roman" w:cs="Times New Roman"/>
          <w:sz w:val="24"/>
          <w:szCs w:val="24"/>
        </w:rPr>
        <w:t xml:space="preserve">(iv) La fiscalía tendría permitido, de acuerdo con las estrictas directrices legales, renunciar completa o parcialmente al ejercicio de la acción penal o limitarlo </w:t>
      </w:r>
      <w:r w:rsidRPr="00435B4F">
        <w:rPr>
          <w:rFonts w:ascii="Times New Roman" w:eastAsia="Times New Roman" w:hAnsi="Times New Roman" w:cs="Times New Roman"/>
          <w:sz w:val="24"/>
          <w:szCs w:val="24"/>
        </w:rPr>
        <w:lastRenderedPageBreak/>
        <w:t>a solo algunos de los participantes en el comportamiento punible (fiscalía general de la Nación, 2022).</w:t>
      </w:r>
    </w:p>
    <w:p w14:paraId="52529260" w14:textId="77777777" w:rsidR="00435B4F" w:rsidRPr="00435B4F" w:rsidRDefault="00435B4F" w:rsidP="00B939F3">
      <w:pPr>
        <w:shd w:val="clear" w:color="auto" w:fill="FFFFFF"/>
        <w:spacing w:after="0" w:line="480" w:lineRule="auto"/>
        <w:ind w:firstLine="567"/>
        <w:rPr>
          <w:rFonts w:ascii="Times New Roman" w:eastAsia="Times New Roman" w:hAnsi="Times New Roman" w:cs="Times New Roman"/>
          <w:sz w:val="24"/>
          <w:szCs w:val="24"/>
        </w:rPr>
      </w:pPr>
    </w:p>
    <w:p w14:paraId="5D38AC59" w14:textId="77777777" w:rsidR="00435B4F" w:rsidRDefault="00435B4F" w:rsidP="00B939F3">
      <w:pPr>
        <w:shd w:val="clear" w:color="auto" w:fill="FFFFFF"/>
        <w:spacing w:after="0" w:line="480" w:lineRule="auto"/>
        <w:ind w:firstLine="567"/>
        <w:rPr>
          <w:rFonts w:ascii="Times New Roman" w:eastAsia="Times New Roman" w:hAnsi="Times New Roman" w:cs="Times New Roman"/>
          <w:sz w:val="24"/>
          <w:szCs w:val="24"/>
        </w:rPr>
      </w:pPr>
      <w:r w:rsidRPr="00435B4F">
        <w:rPr>
          <w:rFonts w:ascii="Times New Roman" w:eastAsia="Times New Roman" w:hAnsi="Times New Roman" w:cs="Times New Roman"/>
          <w:sz w:val="24"/>
          <w:szCs w:val="24"/>
        </w:rPr>
        <w:t>El joven estaba bajo investigación por el delito de acceso carnal abusivo con un menor de 14 años, y la fiscalía buscaba que se utilizara el concepto de oportunidad en este caso particular. El caso involucra encuentros sexuales consensuados entre el supuesto agresor y la niña menor de 14 años, y la niña y sus abogados no querían que se castigara al acusado.</w:t>
      </w:r>
    </w:p>
    <w:p w14:paraId="5DF57B18" w14:textId="77777777" w:rsidR="00B6304C" w:rsidRPr="00B6304C" w:rsidRDefault="00B6304C" w:rsidP="00B939F3">
      <w:pPr>
        <w:shd w:val="clear" w:color="auto" w:fill="FFFFFF"/>
        <w:spacing w:before="280" w:after="280" w:line="480" w:lineRule="auto"/>
        <w:ind w:firstLine="708"/>
        <w:rPr>
          <w:rFonts w:ascii="Times New Roman" w:eastAsia="Times New Roman" w:hAnsi="Times New Roman" w:cs="Times New Roman"/>
          <w:sz w:val="24"/>
          <w:szCs w:val="24"/>
        </w:rPr>
      </w:pPr>
      <w:r w:rsidRPr="00B6304C">
        <w:rPr>
          <w:rFonts w:ascii="Times New Roman" w:eastAsia="Times New Roman" w:hAnsi="Times New Roman" w:cs="Times New Roman"/>
          <w:sz w:val="24"/>
          <w:szCs w:val="24"/>
        </w:rPr>
        <w:t>La fiscalía general de la 7 Judicial II de Familia de Bogotá apeló esta decisión, alegando que los requisitos del Artículo 199, Número 3 de la Ley 1098 de 2006 prohibían la adopción del concepto de oportunidad para los delitos sexuales contra niños menores de 14 años. La jueza destacó tanto el principio del interés superior de los menores, que considera a ambas partes por igual y no se aplica a los delincuentes mayores de 18 años, como el propósito único y diferenciado que define los procedimientos del sistema de justicia juvenil, al confirmar la decisión en segunda instancia.</w:t>
      </w:r>
    </w:p>
    <w:p w14:paraId="2D80295A" w14:textId="77777777" w:rsidR="00B6304C" w:rsidRPr="00B6304C" w:rsidRDefault="00B6304C" w:rsidP="00B939F3">
      <w:pPr>
        <w:shd w:val="clear" w:color="auto" w:fill="FFFFFF"/>
        <w:spacing w:before="280" w:after="280" w:line="480" w:lineRule="auto"/>
        <w:ind w:firstLine="708"/>
        <w:rPr>
          <w:rFonts w:ascii="Times New Roman" w:eastAsia="Times New Roman" w:hAnsi="Times New Roman" w:cs="Times New Roman"/>
          <w:sz w:val="24"/>
          <w:szCs w:val="24"/>
        </w:rPr>
      </w:pPr>
      <w:r w:rsidRPr="00B6304C">
        <w:rPr>
          <w:rFonts w:ascii="Times New Roman" w:eastAsia="Times New Roman" w:hAnsi="Times New Roman" w:cs="Times New Roman"/>
          <w:sz w:val="24"/>
          <w:szCs w:val="24"/>
        </w:rPr>
        <w:t>Después de que se dictó la sentencia en segunda instancia y no quedaban otras opciones, la fiscalía general presentó una acción de tutela para defender los derechos fundamentales del menor que es la supuesta víctima del caso y para respaldar los argumentos de que los beneficios son inaplicables y el principio de oportunidad debería aplicarse en estas circunstancias. Esta tutela fue rechazada la primera vez; pero logro ser aprobada en segunda instancia.</w:t>
      </w:r>
    </w:p>
    <w:p w14:paraId="28BF2F2C" w14:textId="77777777" w:rsidR="00B6304C" w:rsidRPr="00B6304C" w:rsidRDefault="00B6304C" w:rsidP="00B939F3">
      <w:pPr>
        <w:shd w:val="clear" w:color="auto" w:fill="FFFFFF"/>
        <w:spacing w:before="280" w:after="280" w:line="480" w:lineRule="auto"/>
        <w:ind w:left="851" w:firstLine="709"/>
        <w:rPr>
          <w:rFonts w:ascii="Times New Roman" w:eastAsia="Times New Roman" w:hAnsi="Times New Roman" w:cs="Times New Roman"/>
          <w:sz w:val="24"/>
          <w:szCs w:val="24"/>
        </w:rPr>
      </w:pPr>
      <w:r w:rsidRPr="00B6304C">
        <w:rPr>
          <w:rFonts w:ascii="Times New Roman" w:eastAsia="Times New Roman" w:hAnsi="Times New Roman" w:cs="Times New Roman"/>
          <w:sz w:val="24"/>
          <w:szCs w:val="24"/>
        </w:rPr>
        <w:t xml:space="preserve">La Corte Constitucional revoca la decisión tomada por la segunda instancia y confirma la sentencia que negó la protección constitucional al acusado después de </w:t>
      </w:r>
      <w:r w:rsidRPr="00B6304C">
        <w:rPr>
          <w:rFonts w:ascii="Times New Roman" w:eastAsia="Times New Roman" w:hAnsi="Times New Roman" w:cs="Times New Roman"/>
          <w:sz w:val="24"/>
          <w:szCs w:val="24"/>
        </w:rPr>
        <w:lastRenderedPageBreak/>
        <w:t>considerar la naturaleza del delito y los derechos pertinentes y específicos bajo el SRPA. T-142 del año 2019. La Corte se pone en contacto con el Consejo Superior de Política Criminal de la misma manera y de acuerdo con la misma tutela. El Consejo añade que el concepto contra el procesamiento es a través del concepto 18 de 2018 a nivel de bloque de ley y normas nacionales como el Código Penal Colombiano, la Ley 906 de 200, y el Código de la Infancia y la Adolescencia, Ley 1098 de 2006. (Sentencia T- 142, 2019).</w:t>
      </w:r>
    </w:p>
    <w:p w14:paraId="03DEB61A" w14:textId="5793E4BE" w:rsidR="00B6304C" w:rsidRDefault="00B6304C" w:rsidP="00B939F3">
      <w:pPr>
        <w:shd w:val="clear" w:color="auto" w:fill="FFFFFF"/>
        <w:spacing w:before="280" w:after="280" w:line="480" w:lineRule="auto"/>
        <w:ind w:firstLine="708"/>
        <w:rPr>
          <w:rFonts w:ascii="Times New Roman" w:eastAsia="Times New Roman" w:hAnsi="Times New Roman" w:cs="Times New Roman"/>
          <w:sz w:val="24"/>
          <w:szCs w:val="24"/>
        </w:rPr>
      </w:pPr>
      <w:r w:rsidRPr="00B6304C">
        <w:rPr>
          <w:rFonts w:ascii="Times New Roman" w:eastAsia="Times New Roman" w:hAnsi="Times New Roman" w:cs="Times New Roman"/>
          <w:sz w:val="24"/>
          <w:szCs w:val="24"/>
        </w:rPr>
        <w:t>Según el Artículo 8 de la Ley 1098 de 2006, donde el sujeto activo es también un menor y se cumplen las condiciones excepcionales para su aplicación, el estándar del interés superior del menor debe utilizarse en el curso de los procedimientos penales. Esto también cubre a las víctimas menores de 14 años. Esto hace posible y legal el uso de la idea de azar en situaciones que involucran a adolescentes.</w:t>
      </w:r>
      <w:r>
        <w:rPr>
          <w:rFonts w:ascii="Times New Roman" w:eastAsia="Times New Roman" w:hAnsi="Times New Roman" w:cs="Times New Roman"/>
          <w:sz w:val="24"/>
          <w:szCs w:val="24"/>
        </w:rPr>
        <w:t xml:space="preserve"> </w:t>
      </w:r>
    </w:p>
    <w:p w14:paraId="03DEB61C" w14:textId="5CA771AA" w:rsidR="0063426E" w:rsidRDefault="006B2674" w:rsidP="00B939F3">
      <w:pPr>
        <w:shd w:val="clear" w:color="auto" w:fill="FFFFFF"/>
        <w:spacing w:before="280" w:after="28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concepto citan la sentencia T-408 de 1995: </w:t>
      </w:r>
    </w:p>
    <w:p w14:paraId="359D8EE2" w14:textId="1E8F5DF2" w:rsidR="009F3DF7" w:rsidRPr="009F3DF7" w:rsidRDefault="009F3DF7" w:rsidP="00B939F3">
      <w:pPr>
        <w:shd w:val="clear" w:color="auto" w:fill="FFFFFF"/>
        <w:spacing w:before="280" w:after="280" w:line="480" w:lineRule="auto"/>
        <w:ind w:left="851" w:firstLine="709"/>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t>La noción de actuar en el "mejor interés" de un menor ha adquirido relevancia y ha alterado fundamentalmente cómo se trataba anteriormente a los menores. Con la excepción de algunos actos en los que pueden hacerlo a través de un representante, la participación de los menores en el sistema legal y su acceso a él solían estar muy restringidos o ser inexistentes en la gran mayoría de las circunstancias que les afectaban. Esto se debía a la percepción de que los niños eran menos valiosos que los adultos. (Sentencia T-408, 1995).</w:t>
      </w:r>
    </w:p>
    <w:p w14:paraId="444034BE" w14:textId="05978E76" w:rsidR="009F3DF7" w:rsidRPr="009F3DF7" w:rsidRDefault="009F3DF7" w:rsidP="00B939F3">
      <w:pPr>
        <w:shd w:val="clear" w:color="auto" w:fill="FFFFFF"/>
        <w:spacing w:before="280" w:after="280" w:line="480" w:lineRule="auto"/>
        <w:ind w:left="567" w:firstLine="709"/>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lastRenderedPageBreak/>
        <w:t>La perspectiva más avanzada afirma que las siguientes características definen lo que está en el mejor interés del menor:</w:t>
      </w:r>
    </w:p>
    <w:p w14:paraId="6E3432D0" w14:textId="77777777" w:rsidR="009F3DF7" w:rsidRPr="009F3DF7" w:rsidRDefault="009F3DF7" w:rsidP="00B939F3">
      <w:pPr>
        <w:shd w:val="clear" w:color="auto" w:fill="FFFFFF"/>
        <w:spacing w:before="280" w:after="280" w:line="480" w:lineRule="auto"/>
        <w:ind w:left="567" w:firstLine="709"/>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t>(1) Es real, existiendo de manera tangible e independiente de las percepciones o interpretaciones subjetivas.</w:t>
      </w:r>
    </w:p>
    <w:p w14:paraId="638E54F0" w14:textId="77777777" w:rsidR="009F3DF7" w:rsidRPr="009F3DF7" w:rsidRDefault="009F3DF7" w:rsidP="00B939F3">
      <w:pPr>
        <w:shd w:val="clear" w:color="auto" w:fill="FFFFFF"/>
        <w:spacing w:before="280" w:after="280" w:line="480" w:lineRule="auto"/>
        <w:ind w:left="567" w:firstLine="709"/>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t>(2) Es independiente de los criterios arbitrarios de otros, lo que significa que su existencia y protección no dependen de la voluntad o capricho de los padres, ya que son intereses legalmente autónomos.</w:t>
      </w:r>
    </w:p>
    <w:p w14:paraId="665D734C" w14:textId="77777777" w:rsidR="009F3DF7" w:rsidRPr="009F3DF7" w:rsidRDefault="009F3DF7" w:rsidP="00B939F3">
      <w:pPr>
        <w:shd w:val="clear" w:color="auto" w:fill="FFFFFF"/>
        <w:spacing w:before="280" w:after="280" w:line="480" w:lineRule="auto"/>
        <w:ind w:left="567" w:firstLine="709"/>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t>(3) Es un concepto relacional, ya que la garantía de su protección se basa en la existencia de intereses en competencia. La ponderación de estos intereses después del hecho (ex post) determina la protección del menor.</w:t>
      </w:r>
    </w:p>
    <w:p w14:paraId="373A9633" w14:textId="381759E0" w:rsidR="009F3DF7" w:rsidRPr="009F3DF7" w:rsidRDefault="009F3DF7" w:rsidP="00B939F3">
      <w:pPr>
        <w:shd w:val="clear" w:color="auto" w:fill="FFFFFF"/>
        <w:spacing w:before="280" w:after="280" w:line="480" w:lineRule="auto"/>
        <w:ind w:left="567" w:firstLine="709"/>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t>(4) Dado que los derechos de los menores son ubicuos y ambos deben ser reconocidos y preservados de manera clara. (Sentencia T-408, 1995).</w:t>
      </w:r>
    </w:p>
    <w:p w14:paraId="6EEA9D31" w14:textId="3351A142" w:rsidR="009F3DF7" w:rsidRDefault="009F3DF7" w:rsidP="00B939F3">
      <w:pPr>
        <w:shd w:val="clear" w:color="auto" w:fill="FFFFFF"/>
        <w:spacing w:before="280" w:after="280" w:line="480" w:lineRule="auto"/>
        <w:ind w:firstLine="567"/>
        <w:rPr>
          <w:rFonts w:ascii="Times New Roman" w:eastAsia="Times New Roman" w:hAnsi="Times New Roman" w:cs="Times New Roman"/>
          <w:sz w:val="24"/>
          <w:szCs w:val="24"/>
        </w:rPr>
      </w:pPr>
      <w:r w:rsidRPr="009F3DF7">
        <w:rPr>
          <w:rFonts w:ascii="Times New Roman" w:eastAsia="Times New Roman" w:hAnsi="Times New Roman" w:cs="Times New Roman"/>
          <w:sz w:val="24"/>
          <w:szCs w:val="24"/>
        </w:rPr>
        <w:t xml:space="preserve"> La aplicación de la noción de oportunidad en los procedimientos del SRPA intenta encontrar un equilibrio entre los derechos de los sujetos activos y pasivos que participan en la comisión de delitos sexuales.  Es importante tener en cuenta que el caso en cuestión se refiere a relaciones sexuales consentidas entre menores, por lo que es importante tener en cuenta la idea de que el victimario puede beneficiarse de alguna manera cuando están en juego los derechos de la supuesta víctima. </w:t>
      </w:r>
    </w:p>
    <w:p w14:paraId="2B2EFA3F" w14:textId="64CB8B4C" w:rsidR="003C0232" w:rsidRP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r w:rsidRPr="003C0232">
        <w:rPr>
          <w:rFonts w:ascii="Times New Roman" w:eastAsia="Times New Roman" w:hAnsi="Times New Roman" w:cs="Times New Roman"/>
          <w:sz w:val="24"/>
          <w:szCs w:val="24"/>
        </w:rPr>
        <w:t xml:space="preserve">Es importante destacar los aspectos rehabilitadores, instructivos y únicos del Sistema de Responsabilidad Penal para Adolescentes. Según la Ley 906 de 2000, que es aplicable a los </w:t>
      </w:r>
      <w:r w:rsidRPr="003C0232">
        <w:rPr>
          <w:rFonts w:ascii="Times New Roman" w:eastAsia="Times New Roman" w:hAnsi="Times New Roman" w:cs="Times New Roman"/>
          <w:sz w:val="24"/>
          <w:szCs w:val="24"/>
        </w:rPr>
        <w:lastRenderedPageBreak/>
        <w:t>mayores de 18 años, el tratamiento penal especial aplicado no permite la responsabilidad penal de los adolescentes y/o jóvenes; solo se pueden imponer sanciones que permitan la resocialización, el desarrollo del proyecto de vida, la reintegración familiar, así como la formación académica.</w:t>
      </w:r>
      <w:r w:rsidRPr="003C0232">
        <w:t xml:space="preserve"> </w:t>
      </w:r>
      <w:r w:rsidRPr="003C0232">
        <w:rPr>
          <w:rFonts w:ascii="Times New Roman" w:eastAsia="Times New Roman" w:hAnsi="Times New Roman" w:cs="Times New Roman"/>
          <w:sz w:val="24"/>
          <w:szCs w:val="24"/>
        </w:rPr>
        <w:t>(Reglas mínimas de las Naciones Unidas para la administración de la justicia de menores, 1985).</w:t>
      </w:r>
    </w:p>
    <w:p w14:paraId="44431635" w14:textId="77777777" w:rsidR="003C0232" w:rsidRP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p>
    <w:p w14:paraId="5CB7C87E" w14:textId="77777777" w:rsidR="003C0232" w:rsidRP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r w:rsidRPr="003C0232">
        <w:rPr>
          <w:rFonts w:ascii="Times New Roman" w:eastAsia="Times New Roman" w:hAnsi="Times New Roman" w:cs="Times New Roman"/>
          <w:sz w:val="24"/>
          <w:szCs w:val="24"/>
        </w:rPr>
        <w:t>En la sentencia T-142 de 2019, el tribunal solicitó que, además de las regulaciones de la Infancia y la Adolescencia que permiten interpretar la naturaleza de los procedimientos penales contra los adolescentes, los departamentos de psicología de la Universidad Nacional, Universidad Externado de Colombia, Universidad del Rosario, Universidad Javeriana, Universidad EAFIT, Universidad de la Sabana y Universidad de los Andes revisen el caso.</w:t>
      </w:r>
    </w:p>
    <w:p w14:paraId="1193706E" w14:textId="77777777" w:rsidR="003C0232" w:rsidRP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p>
    <w:p w14:paraId="604CD997" w14:textId="77777777" w:rsidR="003C0232" w:rsidRP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r w:rsidRPr="003C0232">
        <w:rPr>
          <w:rFonts w:ascii="Times New Roman" w:eastAsia="Times New Roman" w:hAnsi="Times New Roman" w:cs="Times New Roman"/>
          <w:sz w:val="24"/>
          <w:szCs w:val="24"/>
        </w:rPr>
        <w:t>La Universidad Externado declara lo siguiente al respecto:</w:t>
      </w:r>
    </w:p>
    <w:p w14:paraId="7F446771" w14:textId="77777777" w:rsidR="003C0232" w:rsidRPr="003C0232" w:rsidRDefault="003C0232" w:rsidP="00B939F3">
      <w:pPr>
        <w:shd w:val="clear" w:color="auto" w:fill="FFFFFF"/>
        <w:spacing w:after="0" w:line="480" w:lineRule="auto"/>
        <w:ind w:left="851" w:firstLine="709"/>
        <w:rPr>
          <w:rFonts w:ascii="Times New Roman" w:eastAsia="Times New Roman" w:hAnsi="Times New Roman" w:cs="Times New Roman"/>
          <w:sz w:val="24"/>
          <w:szCs w:val="24"/>
        </w:rPr>
      </w:pPr>
    </w:p>
    <w:p w14:paraId="7E416856" w14:textId="77777777" w:rsidR="003C0232" w:rsidRPr="003C0232" w:rsidRDefault="003C0232" w:rsidP="00B939F3">
      <w:pPr>
        <w:shd w:val="clear" w:color="auto" w:fill="FFFFFF"/>
        <w:spacing w:after="0" w:line="480" w:lineRule="auto"/>
        <w:ind w:left="851" w:firstLine="709"/>
        <w:rPr>
          <w:rFonts w:ascii="Times New Roman" w:eastAsia="Times New Roman" w:hAnsi="Times New Roman" w:cs="Times New Roman"/>
          <w:sz w:val="24"/>
          <w:szCs w:val="24"/>
        </w:rPr>
      </w:pPr>
      <w:r w:rsidRPr="003C0232">
        <w:rPr>
          <w:rFonts w:ascii="Times New Roman" w:eastAsia="Times New Roman" w:hAnsi="Times New Roman" w:cs="Times New Roman"/>
          <w:sz w:val="24"/>
          <w:szCs w:val="24"/>
        </w:rPr>
        <w:t xml:space="preserve">(i) En respuesta a la primera consulta, se argumenta que el grado de conciencia de un joven, que se define por cuán clara y lúcidamente comprende, expresa y regula sus impulsos y experiencias sexuales, determina su capacidad para consentir. Deja muy claro que la instrucción e información proporcionada por los responsables de la socialización de un niño aumentan la capacidad de este para dar su consentimiento. Según él, la sexualidad es una faceta de la vida humana que es crucial para su desarrollo y mantenimiento. Está concatenada e incrustada en contextos significativos, culturales y sociales en lugar de funcionar como un impulso independiente. Según estudios anteriores, existen áreas cerebrales que están asociadas </w:t>
      </w:r>
      <w:r w:rsidRPr="003C0232">
        <w:rPr>
          <w:rFonts w:ascii="Times New Roman" w:eastAsia="Times New Roman" w:hAnsi="Times New Roman" w:cs="Times New Roman"/>
          <w:sz w:val="24"/>
          <w:szCs w:val="24"/>
        </w:rPr>
        <w:lastRenderedPageBreak/>
        <w:t>a impulsos apetitivos, placer y experiencias de satisfacción que se desarrollan muy temprano.</w:t>
      </w:r>
    </w:p>
    <w:p w14:paraId="2E4CA90C" w14:textId="77777777" w:rsidR="003C0232" w:rsidRPr="003C0232" w:rsidRDefault="003C0232" w:rsidP="00B939F3">
      <w:pPr>
        <w:shd w:val="clear" w:color="auto" w:fill="FFFFFF"/>
        <w:spacing w:after="0" w:line="480" w:lineRule="auto"/>
        <w:ind w:left="851" w:firstLine="709"/>
        <w:rPr>
          <w:rFonts w:ascii="Times New Roman" w:eastAsia="Times New Roman" w:hAnsi="Times New Roman" w:cs="Times New Roman"/>
          <w:sz w:val="24"/>
          <w:szCs w:val="24"/>
        </w:rPr>
      </w:pPr>
    </w:p>
    <w:p w14:paraId="4DFE0A4C" w14:textId="77777777" w:rsidR="003C0232" w:rsidRPr="003C0232" w:rsidRDefault="003C0232" w:rsidP="00B939F3">
      <w:pPr>
        <w:shd w:val="clear" w:color="auto" w:fill="FFFFFF"/>
        <w:spacing w:after="0" w:line="480" w:lineRule="auto"/>
        <w:ind w:left="851" w:firstLine="709"/>
        <w:rPr>
          <w:rFonts w:ascii="Times New Roman" w:eastAsia="Times New Roman" w:hAnsi="Times New Roman" w:cs="Times New Roman"/>
          <w:sz w:val="24"/>
          <w:szCs w:val="24"/>
        </w:rPr>
      </w:pPr>
      <w:r w:rsidRPr="003C0232">
        <w:rPr>
          <w:rFonts w:ascii="Times New Roman" w:eastAsia="Times New Roman" w:hAnsi="Times New Roman" w:cs="Times New Roman"/>
          <w:sz w:val="24"/>
          <w:szCs w:val="24"/>
        </w:rPr>
        <w:t>(ii) En respuesta al segundo problema, enumera los muchos significados asociados con la palabra "edad" y argumenta que estas connotaciones deben tenerse en cuenta al evaluar cómo se desarrollará el nivel de autonomía personal de un niño. La edad de un niño no dicta su comportamiento; más bien, solo ayuda a determinar la etapa de desarrollo en la que se encuentran en ese momento.</w:t>
      </w:r>
    </w:p>
    <w:p w14:paraId="25DDF6C1" w14:textId="77777777" w:rsidR="003C0232" w:rsidRPr="003C0232" w:rsidRDefault="003C0232" w:rsidP="00B939F3">
      <w:pPr>
        <w:shd w:val="clear" w:color="auto" w:fill="FFFFFF"/>
        <w:spacing w:after="0" w:line="480" w:lineRule="auto"/>
        <w:ind w:left="851" w:firstLine="709"/>
        <w:rPr>
          <w:rFonts w:ascii="Times New Roman" w:eastAsia="Times New Roman" w:hAnsi="Times New Roman" w:cs="Times New Roman"/>
          <w:sz w:val="24"/>
          <w:szCs w:val="24"/>
        </w:rPr>
      </w:pPr>
    </w:p>
    <w:p w14:paraId="4F50083A" w14:textId="2F5B7B68" w:rsidR="003C0232" w:rsidRPr="003C0232" w:rsidRDefault="002A3AC4" w:rsidP="00B939F3">
      <w:pPr>
        <w:shd w:val="clear" w:color="auto" w:fill="FFFFFF"/>
        <w:spacing w:after="0" w:line="480" w:lineRule="auto"/>
        <w:ind w:left="85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3C0232" w:rsidRPr="003C0232">
        <w:rPr>
          <w:rFonts w:ascii="Times New Roman" w:eastAsia="Times New Roman" w:hAnsi="Times New Roman" w:cs="Times New Roman"/>
          <w:sz w:val="24"/>
          <w:szCs w:val="24"/>
        </w:rPr>
        <w:t>Se enfatizó en respuesta a la tercera pregunta que, si bien los procesos hormonales tienen un impacto en la sexualidad, no la causan directamente. Por lo tanto, además del desarrollo hormonal, se deben tener en cuenta las circunstancias personales, familiares, educativas y sociales del niño (Sentencia T-142, 2019).</w:t>
      </w:r>
    </w:p>
    <w:p w14:paraId="4C58892A" w14:textId="77777777" w:rsidR="003C0232" w:rsidRP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p>
    <w:p w14:paraId="4B3A35EF" w14:textId="77777777" w:rsidR="003C0232" w:rsidRDefault="003C0232" w:rsidP="00B939F3">
      <w:pPr>
        <w:shd w:val="clear" w:color="auto" w:fill="FFFFFF"/>
        <w:spacing w:after="0" w:line="480" w:lineRule="auto"/>
        <w:ind w:firstLine="708"/>
        <w:rPr>
          <w:rFonts w:ascii="Times New Roman" w:eastAsia="Times New Roman" w:hAnsi="Times New Roman" w:cs="Times New Roman"/>
          <w:sz w:val="24"/>
          <w:szCs w:val="24"/>
        </w:rPr>
      </w:pPr>
      <w:r w:rsidRPr="003C0232">
        <w:rPr>
          <w:rFonts w:ascii="Times New Roman" w:eastAsia="Times New Roman" w:hAnsi="Times New Roman" w:cs="Times New Roman"/>
          <w:sz w:val="24"/>
          <w:szCs w:val="24"/>
        </w:rPr>
        <w:t>La Universidad EAFIT responde, en su opinión, de la siguiente manera:</w:t>
      </w:r>
    </w:p>
    <w:p w14:paraId="7765F8BC" w14:textId="77777777" w:rsidR="007754CD" w:rsidRDefault="007754CD" w:rsidP="00B939F3">
      <w:pPr>
        <w:shd w:val="clear" w:color="auto" w:fill="FFFFFF"/>
        <w:spacing w:after="0" w:line="480" w:lineRule="auto"/>
        <w:rPr>
          <w:rFonts w:ascii="Times New Roman" w:eastAsia="Times New Roman" w:hAnsi="Times New Roman" w:cs="Times New Roman"/>
          <w:sz w:val="24"/>
          <w:szCs w:val="24"/>
        </w:rPr>
      </w:pPr>
    </w:p>
    <w:p w14:paraId="388C40FE" w14:textId="5B81B885" w:rsidR="001065BD" w:rsidRDefault="001065BD" w:rsidP="00B939F3">
      <w:pPr>
        <w:pStyle w:val="Prrafodelista"/>
        <w:numPr>
          <w:ilvl w:val="0"/>
          <w:numId w:val="23"/>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7754CD" w:rsidRPr="001065BD">
        <w:rPr>
          <w:rFonts w:ascii="Times New Roman" w:eastAsia="Times New Roman" w:hAnsi="Times New Roman" w:cs="Times New Roman"/>
          <w:sz w:val="24"/>
          <w:szCs w:val="24"/>
        </w:rPr>
        <w:t xml:space="preserve">a habilidad de un menor para dar su consentimiento es "dependiente" y está directamente influenciada por elementos como su estado mental, desarrollo psicosexual, historial sexual específico, educación recibida de su familia, escuela y sociedad, así como las circunstancias particulares que rodean los actos sexuales. Estos elementos incluyen su entorno y la capacidad para dar consentimiento en sí misma. Se enfatizó que es igualmente crucial considerar cómo se forman sus </w:t>
      </w:r>
      <w:r w:rsidR="007754CD" w:rsidRPr="001065BD">
        <w:rPr>
          <w:rFonts w:ascii="Times New Roman" w:eastAsia="Times New Roman" w:hAnsi="Times New Roman" w:cs="Times New Roman"/>
          <w:sz w:val="24"/>
          <w:szCs w:val="24"/>
        </w:rPr>
        <w:lastRenderedPageBreak/>
        <w:t>identidades sexuales en relación con su crianza, religión, cultura y/o costumbres familiares.</w:t>
      </w:r>
    </w:p>
    <w:p w14:paraId="2296E6E1" w14:textId="77777777" w:rsidR="001065BD" w:rsidRDefault="007754CD" w:rsidP="00B939F3">
      <w:pPr>
        <w:pStyle w:val="Prrafodelista"/>
        <w:numPr>
          <w:ilvl w:val="0"/>
          <w:numId w:val="23"/>
        </w:numPr>
        <w:shd w:val="clear" w:color="auto" w:fill="FFFFFF"/>
        <w:spacing w:after="0" w:line="480" w:lineRule="auto"/>
        <w:rPr>
          <w:rFonts w:ascii="Times New Roman" w:eastAsia="Times New Roman" w:hAnsi="Times New Roman" w:cs="Times New Roman"/>
          <w:sz w:val="24"/>
          <w:szCs w:val="24"/>
        </w:rPr>
      </w:pPr>
      <w:r w:rsidRPr="001065BD">
        <w:rPr>
          <w:rFonts w:ascii="Times New Roman" w:eastAsia="Times New Roman" w:hAnsi="Times New Roman" w:cs="Times New Roman"/>
          <w:sz w:val="24"/>
          <w:szCs w:val="24"/>
        </w:rPr>
        <w:t>En respuesta a la segunda pregunta, afirmó que factores distintos a la edad cronológica, como la madurez emocional y psicológica, consideraciones culturales y educación sexual, también influyen en el consentimiento sexual.</w:t>
      </w:r>
    </w:p>
    <w:p w14:paraId="307CBF17" w14:textId="77777777" w:rsidR="001065BD" w:rsidRDefault="007754CD" w:rsidP="00B939F3">
      <w:pPr>
        <w:pStyle w:val="Prrafodelista"/>
        <w:numPr>
          <w:ilvl w:val="0"/>
          <w:numId w:val="23"/>
        </w:numPr>
        <w:shd w:val="clear" w:color="auto" w:fill="FFFFFF"/>
        <w:spacing w:after="0" w:line="480" w:lineRule="auto"/>
        <w:rPr>
          <w:rFonts w:ascii="Times New Roman" w:eastAsia="Times New Roman" w:hAnsi="Times New Roman" w:cs="Times New Roman"/>
          <w:sz w:val="24"/>
          <w:szCs w:val="24"/>
        </w:rPr>
      </w:pPr>
      <w:r w:rsidRPr="001065BD">
        <w:rPr>
          <w:rFonts w:ascii="Times New Roman" w:eastAsia="Times New Roman" w:hAnsi="Times New Roman" w:cs="Times New Roman"/>
          <w:sz w:val="24"/>
          <w:szCs w:val="24"/>
        </w:rPr>
        <w:t>La respuesta a la tercera pregunta podría ser positiva o negativa basada en la educación sexual y reproductiva previa del menor y las experiencias de sexualidad a la edad de 14 años.</w:t>
      </w:r>
    </w:p>
    <w:p w14:paraId="4C06D1DB" w14:textId="410679D5" w:rsidR="003C0232" w:rsidRPr="001065BD" w:rsidRDefault="007754CD" w:rsidP="00B939F3">
      <w:pPr>
        <w:pStyle w:val="Prrafodelista"/>
        <w:numPr>
          <w:ilvl w:val="0"/>
          <w:numId w:val="23"/>
        </w:numPr>
        <w:shd w:val="clear" w:color="auto" w:fill="FFFFFF"/>
        <w:spacing w:after="0" w:line="480" w:lineRule="auto"/>
        <w:rPr>
          <w:rFonts w:ascii="Times New Roman" w:eastAsia="Times New Roman" w:hAnsi="Times New Roman" w:cs="Times New Roman"/>
          <w:sz w:val="24"/>
          <w:szCs w:val="24"/>
        </w:rPr>
      </w:pPr>
      <w:r w:rsidRPr="001065BD">
        <w:rPr>
          <w:rFonts w:ascii="Times New Roman" w:eastAsia="Times New Roman" w:hAnsi="Times New Roman" w:cs="Times New Roman"/>
          <w:sz w:val="24"/>
          <w:szCs w:val="24"/>
        </w:rPr>
        <w:t>Cualquier castigo en forma de censura social y/o simbólica (incluyendo penal) varía favorable o desfavorablemente en términos de efectos psicológicos dependiendo de la percepción del sujeto del nivel de justicia, así como del contexto sociocultural que moldea la interpretación de lo que está permitido y prohibido con respecto a los diversos aspectos y actividades de la vida (Sentencia T-142, 2019).</w:t>
      </w:r>
    </w:p>
    <w:p w14:paraId="35A096C1" w14:textId="77777777" w:rsidR="00B9750B" w:rsidRPr="00B9750B" w:rsidRDefault="00B9750B" w:rsidP="00B939F3">
      <w:pPr>
        <w:pStyle w:val="Prrafodelista"/>
        <w:spacing w:line="480" w:lineRule="auto"/>
        <w:rPr>
          <w:rFonts w:ascii="Times New Roman" w:eastAsia="Times New Roman" w:hAnsi="Times New Roman" w:cs="Times New Roman"/>
          <w:color w:val="2D2D2D"/>
          <w:sz w:val="24"/>
          <w:szCs w:val="24"/>
          <w:lang w:eastAsia="es-CO"/>
        </w:rPr>
      </w:pPr>
    </w:p>
    <w:p w14:paraId="139426C9" w14:textId="77777777" w:rsidR="00B9750B" w:rsidRDefault="00B9750B" w:rsidP="00B939F3">
      <w:pPr>
        <w:pStyle w:val="Prrafodelista"/>
        <w:shd w:val="clear" w:color="auto" w:fill="FFFFFF"/>
        <w:spacing w:after="0" w:line="480" w:lineRule="auto"/>
        <w:rPr>
          <w:rFonts w:ascii="Times New Roman" w:eastAsia="Times New Roman" w:hAnsi="Times New Roman" w:cs="Times New Roman"/>
          <w:color w:val="2D2D2D"/>
          <w:sz w:val="24"/>
          <w:szCs w:val="24"/>
          <w:lang w:eastAsia="es-CO"/>
        </w:rPr>
      </w:pPr>
    </w:p>
    <w:p w14:paraId="7014F66F" w14:textId="572C6CAF" w:rsidR="003B6A2D" w:rsidRDefault="00B9750B" w:rsidP="00B939F3">
      <w:pPr>
        <w:spacing w:line="480" w:lineRule="auto"/>
        <w:ind w:firstLine="720"/>
        <w:rPr>
          <w:rFonts w:ascii="Times New Roman" w:eastAsia="Times New Roman" w:hAnsi="Times New Roman" w:cs="Times New Roman"/>
          <w:sz w:val="24"/>
          <w:szCs w:val="24"/>
        </w:rPr>
      </w:pPr>
      <w:r w:rsidRPr="00B9750B">
        <w:rPr>
          <w:rFonts w:ascii="Times New Roman" w:eastAsia="Times New Roman" w:hAnsi="Times New Roman" w:cs="Times New Roman"/>
          <w:sz w:val="24"/>
          <w:szCs w:val="24"/>
        </w:rPr>
        <w:t>En la respuesta brindada por la Universidad EAFIT establece que la capacidad de consentir no es general y depende de diversos factores que inciden en el individuo como la educación sexual y otras circunstancias de contexto personal y familiar, finalmente establece la necesidad de una sanción justa, pues consideran que dependiendo los aspectos particulares del caso, si esta no se ajusta a la necesidad de justicia de la presunta víctima, su efecto podría ser contraproducente, con efectos psicológicos y afectación de las dinámicas y relaciones familiares y del estado mental del menor.</w:t>
      </w:r>
    </w:p>
    <w:p w14:paraId="28113C36" w14:textId="77777777" w:rsidR="003B6A2D" w:rsidRPr="00D725E4" w:rsidRDefault="003B6A2D" w:rsidP="00B939F3">
      <w:pPr>
        <w:spacing w:line="480" w:lineRule="auto"/>
        <w:rPr>
          <w:rFonts w:ascii="Times New Roman" w:eastAsia="Times New Roman" w:hAnsi="Times New Roman" w:cs="Times New Roman"/>
          <w:sz w:val="24"/>
          <w:szCs w:val="24"/>
        </w:rPr>
      </w:pPr>
    </w:p>
    <w:p w14:paraId="07991A4D" w14:textId="75A3EE3B" w:rsidR="00EF76C2" w:rsidRDefault="006761DC" w:rsidP="00B939F3">
      <w:pPr>
        <w:shd w:val="clear" w:color="auto" w:fill="FFFFFF"/>
        <w:spacing w:after="0" w:line="480" w:lineRule="auto"/>
        <w:ind w:left="720"/>
        <w:rPr>
          <w:rFonts w:ascii="Times New Roman" w:eastAsia="Times New Roman" w:hAnsi="Times New Roman" w:cs="Times New Roman"/>
          <w:sz w:val="24"/>
          <w:szCs w:val="24"/>
        </w:rPr>
      </w:pPr>
      <w:r w:rsidRPr="004C617C">
        <w:rPr>
          <w:rFonts w:ascii="Times New Roman" w:eastAsia="Times New Roman" w:hAnsi="Times New Roman" w:cs="Times New Roman"/>
          <w:sz w:val="24"/>
          <w:szCs w:val="24"/>
        </w:rPr>
        <w:lastRenderedPageBreak/>
        <w:t>La Universidad</w:t>
      </w:r>
      <w:r w:rsidR="005E579B" w:rsidRPr="004C617C">
        <w:rPr>
          <w:rFonts w:ascii="Times New Roman" w:eastAsia="Times New Roman" w:hAnsi="Times New Roman" w:cs="Times New Roman"/>
          <w:sz w:val="24"/>
          <w:szCs w:val="24"/>
        </w:rPr>
        <w:t xml:space="preserve"> de la Sabana responde lo siguiente:</w:t>
      </w:r>
      <w:r w:rsidR="005E579B" w:rsidRPr="005E579B">
        <w:rPr>
          <w:rFonts w:ascii="Times New Roman" w:eastAsia="Times New Roman" w:hAnsi="Times New Roman" w:cs="Times New Roman"/>
          <w:sz w:val="24"/>
          <w:szCs w:val="24"/>
        </w:rPr>
        <w:t xml:space="preserve"> </w:t>
      </w:r>
    </w:p>
    <w:p w14:paraId="27A389CB" w14:textId="77777777" w:rsidR="00AF25E9" w:rsidRDefault="00AF25E9" w:rsidP="00B939F3">
      <w:pPr>
        <w:shd w:val="clear" w:color="auto" w:fill="FFFFFF"/>
        <w:spacing w:after="0" w:line="480" w:lineRule="auto"/>
        <w:rPr>
          <w:rFonts w:ascii="Times New Roman" w:eastAsia="Times New Roman" w:hAnsi="Times New Roman" w:cs="Times New Roman"/>
          <w:sz w:val="24"/>
          <w:szCs w:val="24"/>
        </w:rPr>
      </w:pPr>
    </w:p>
    <w:p w14:paraId="6C31D3C2" w14:textId="29257236" w:rsidR="00AF25E9" w:rsidRPr="00AF25E9" w:rsidRDefault="00AF25E9" w:rsidP="00B939F3">
      <w:pPr>
        <w:pStyle w:val="Prrafodelista"/>
        <w:numPr>
          <w:ilvl w:val="0"/>
          <w:numId w:val="26"/>
        </w:numPr>
        <w:shd w:val="clear" w:color="auto" w:fill="FFFFFF"/>
        <w:spacing w:after="0" w:line="480" w:lineRule="auto"/>
        <w:rPr>
          <w:rFonts w:ascii="Times New Roman" w:eastAsia="Times New Roman" w:hAnsi="Times New Roman" w:cs="Times New Roman"/>
          <w:sz w:val="24"/>
          <w:szCs w:val="24"/>
        </w:rPr>
      </w:pPr>
      <w:r w:rsidRPr="00AF25E9">
        <w:rPr>
          <w:rFonts w:ascii="Times New Roman" w:eastAsia="Times New Roman" w:hAnsi="Times New Roman" w:cs="Times New Roman"/>
          <w:sz w:val="24"/>
          <w:szCs w:val="24"/>
        </w:rPr>
        <w:t xml:space="preserve">Diversas investigaciones han demostrado que, además de la edad, las valoraciones de orientación sexual están influenciadas por una </w:t>
      </w:r>
      <w:r w:rsidR="00117E25">
        <w:rPr>
          <w:rFonts w:ascii="Times New Roman" w:eastAsia="Times New Roman" w:hAnsi="Times New Roman" w:cs="Times New Roman"/>
          <w:sz w:val="24"/>
          <w:szCs w:val="24"/>
        </w:rPr>
        <w:t xml:space="preserve">amplia cantidad </w:t>
      </w:r>
      <w:r w:rsidRPr="00AF25E9">
        <w:rPr>
          <w:rFonts w:ascii="Times New Roman" w:eastAsia="Times New Roman" w:hAnsi="Times New Roman" w:cs="Times New Roman"/>
          <w:sz w:val="24"/>
          <w:szCs w:val="24"/>
        </w:rPr>
        <w:t xml:space="preserve">de variables a nivel biológico, </w:t>
      </w:r>
      <w:r w:rsidR="007A3148" w:rsidRPr="00AF25E9">
        <w:rPr>
          <w:rFonts w:ascii="Times New Roman" w:eastAsia="Times New Roman" w:hAnsi="Times New Roman" w:cs="Times New Roman"/>
          <w:sz w:val="24"/>
          <w:szCs w:val="24"/>
        </w:rPr>
        <w:t>familiar, compañeros</w:t>
      </w:r>
      <w:r w:rsidRPr="00AF25E9">
        <w:rPr>
          <w:rFonts w:ascii="Times New Roman" w:eastAsia="Times New Roman" w:hAnsi="Times New Roman" w:cs="Times New Roman"/>
          <w:sz w:val="24"/>
          <w:szCs w:val="24"/>
        </w:rPr>
        <w:t>, escolar y comunitario.</w:t>
      </w:r>
    </w:p>
    <w:p w14:paraId="4E95BBED" w14:textId="77777777" w:rsidR="00AF25E9" w:rsidRPr="00AF25E9" w:rsidRDefault="00AF25E9" w:rsidP="00B939F3">
      <w:pPr>
        <w:shd w:val="clear" w:color="auto" w:fill="FFFFFF"/>
        <w:spacing w:after="0" w:line="480" w:lineRule="auto"/>
        <w:rPr>
          <w:rFonts w:ascii="Times New Roman" w:eastAsia="Times New Roman" w:hAnsi="Times New Roman" w:cs="Times New Roman"/>
          <w:sz w:val="24"/>
          <w:szCs w:val="24"/>
        </w:rPr>
      </w:pPr>
    </w:p>
    <w:p w14:paraId="27F544F2" w14:textId="77777777" w:rsidR="00AF25E9" w:rsidRDefault="00AF25E9" w:rsidP="00B939F3">
      <w:pPr>
        <w:pStyle w:val="Prrafodelista"/>
        <w:numPr>
          <w:ilvl w:val="0"/>
          <w:numId w:val="26"/>
        </w:numPr>
        <w:shd w:val="clear" w:color="auto" w:fill="FFFFFF"/>
        <w:spacing w:after="0" w:line="480" w:lineRule="auto"/>
        <w:rPr>
          <w:rFonts w:ascii="Times New Roman" w:eastAsia="Times New Roman" w:hAnsi="Times New Roman" w:cs="Times New Roman"/>
          <w:sz w:val="24"/>
          <w:szCs w:val="24"/>
        </w:rPr>
      </w:pPr>
      <w:r w:rsidRPr="00AF25E9">
        <w:rPr>
          <w:rFonts w:ascii="Times New Roman" w:eastAsia="Times New Roman" w:hAnsi="Times New Roman" w:cs="Times New Roman"/>
          <w:sz w:val="24"/>
          <w:szCs w:val="24"/>
        </w:rPr>
        <w:t>Sostienen que el inicio de los contactos sexuales está vinculado a la menarquia en el caso de las niñas y a los cambios hormonales en el caso de los niños en respuesta a la tercera pregunta. Cuando estos cambios ocurren temprano, que es un factor determinante, los adolescentes tienen más probabilidades de mostrar un mayor interés en la sexualidad temprana. Sin embargo, coinciden en que la capacidad para tomar decisiones y el desarrollo sexual y hormonal temprano están interrelacionados.</w:t>
      </w:r>
    </w:p>
    <w:p w14:paraId="0762C89E" w14:textId="77777777" w:rsidR="00AF25E9" w:rsidRPr="00AF25E9" w:rsidRDefault="00AF25E9" w:rsidP="00B939F3">
      <w:pPr>
        <w:pStyle w:val="Prrafodelista"/>
        <w:spacing w:line="480" w:lineRule="auto"/>
        <w:rPr>
          <w:rFonts w:ascii="Times New Roman" w:eastAsia="Times New Roman" w:hAnsi="Times New Roman" w:cs="Times New Roman"/>
          <w:sz w:val="24"/>
          <w:szCs w:val="24"/>
        </w:rPr>
      </w:pPr>
    </w:p>
    <w:p w14:paraId="74803DE2" w14:textId="197E93B5" w:rsidR="00AF25E9" w:rsidRPr="00AF25E9" w:rsidRDefault="00AF25E9" w:rsidP="00B939F3">
      <w:pPr>
        <w:pStyle w:val="Prrafodelista"/>
        <w:numPr>
          <w:ilvl w:val="0"/>
          <w:numId w:val="26"/>
        </w:numPr>
        <w:shd w:val="clear" w:color="auto" w:fill="FFFFFF"/>
        <w:spacing w:after="0" w:line="480" w:lineRule="auto"/>
        <w:rPr>
          <w:rFonts w:ascii="Times New Roman" w:eastAsia="Times New Roman" w:hAnsi="Times New Roman" w:cs="Times New Roman"/>
          <w:sz w:val="24"/>
          <w:szCs w:val="24"/>
        </w:rPr>
      </w:pPr>
      <w:r w:rsidRPr="00AF25E9">
        <w:rPr>
          <w:rFonts w:ascii="Times New Roman" w:eastAsia="Times New Roman" w:hAnsi="Times New Roman" w:cs="Times New Roman"/>
          <w:sz w:val="24"/>
          <w:szCs w:val="24"/>
        </w:rPr>
        <w:t>En respuesta a la cuarta pregunta, concluyen que no existe una edad específica que pueda utilizarse para medir la competencia de una persona para dar su consentimiento a la actividad sexual (Sentencia T-142, 2019).</w:t>
      </w:r>
    </w:p>
    <w:p w14:paraId="648AE2D4" w14:textId="77777777" w:rsidR="003805B0" w:rsidRPr="007B7863" w:rsidRDefault="003805B0" w:rsidP="00B939F3">
      <w:pPr>
        <w:shd w:val="clear" w:color="auto" w:fill="FFFFFF"/>
        <w:spacing w:after="0" w:line="480" w:lineRule="auto"/>
        <w:rPr>
          <w:rFonts w:ascii="Times New Roman" w:eastAsia="Times New Roman" w:hAnsi="Times New Roman" w:cs="Times New Roman"/>
          <w:color w:val="2D2D2D"/>
          <w:sz w:val="28"/>
          <w:szCs w:val="28"/>
          <w:lang w:eastAsia="es-CO"/>
        </w:rPr>
      </w:pPr>
    </w:p>
    <w:p w14:paraId="08413316" w14:textId="1DB1B3D8" w:rsidR="003B6A2D" w:rsidRDefault="003805B0" w:rsidP="00B939F3">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Facultad de p</w:t>
      </w:r>
      <w:r w:rsidR="00F5320C">
        <w:rPr>
          <w:rFonts w:ascii="Times New Roman" w:eastAsia="Times New Roman" w:hAnsi="Times New Roman" w:cs="Times New Roman"/>
          <w:sz w:val="24"/>
          <w:szCs w:val="24"/>
        </w:rPr>
        <w:t>si</w:t>
      </w:r>
      <w:r>
        <w:rPr>
          <w:rFonts w:ascii="Times New Roman" w:eastAsia="Times New Roman" w:hAnsi="Times New Roman" w:cs="Times New Roman"/>
          <w:sz w:val="24"/>
          <w:szCs w:val="24"/>
        </w:rPr>
        <w:t>cología de la Universidad de la Sabana en su análisis</w:t>
      </w:r>
      <w:r w:rsidR="00C85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establece al igual que la Universidad EAFIT que</w:t>
      </w:r>
      <w:r w:rsidR="009518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la capacidad </w:t>
      </w:r>
      <w:r w:rsidR="00EA1E6A">
        <w:rPr>
          <w:rFonts w:ascii="Times New Roman" w:eastAsia="Times New Roman" w:hAnsi="Times New Roman" w:cs="Times New Roman"/>
          <w:sz w:val="24"/>
          <w:szCs w:val="24"/>
        </w:rPr>
        <w:t xml:space="preserve">de </w:t>
      </w:r>
      <w:r w:rsidR="0051506E">
        <w:rPr>
          <w:rFonts w:ascii="Times New Roman" w:eastAsia="Times New Roman" w:hAnsi="Times New Roman" w:cs="Times New Roman"/>
          <w:sz w:val="24"/>
          <w:szCs w:val="24"/>
        </w:rPr>
        <w:t>deci</w:t>
      </w:r>
      <w:r w:rsidR="00784696">
        <w:rPr>
          <w:rFonts w:ascii="Times New Roman" w:eastAsia="Times New Roman" w:hAnsi="Times New Roman" w:cs="Times New Roman"/>
          <w:sz w:val="24"/>
          <w:szCs w:val="24"/>
        </w:rPr>
        <w:t xml:space="preserve">sión a nivel sexual y del inicio de las relaciones sexuales </w:t>
      </w:r>
      <w:r w:rsidR="007B7863">
        <w:rPr>
          <w:rFonts w:ascii="Times New Roman" w:eastAsia="Times New Roman" w:hAnsi="Times New Roman" w:cs="Times New Roman"/>
          <w:sz w:val="24"/>
          <w:szCs w:val="24"/>
        </w:rPr>
        <w:t>de los</w:t>
      </w:r>
      <w:r w:rsidR="007A3148">
        <w:rPr>
          <w:rFonts w:ascii="Times New Roman" w:eastAsia="Times New Roman" w:hAnsi="Times New Roman" w:cs="Times New Roman"/>
          <w:sz w:val="24"/>
          <w:szCs w:val="24"/>
        </w:rPr>
        <w:t xml:space="preserve"> menores</w:t>
      </w:r>
      <w:r w:rsidR="005632C0">
        <w:rPr>
          <w:rFonts w:ascii="Times New Roman" w:eastAsia="Times New Roman" w:hAnsi="Times New Roman" w:cs="Times New Roman"/>
          <w:sz w:val="24"/>
          <w:szCs w:val="24"/>
        </w:rPr>
        <w:t xml:space="preserve"> </w:t>
      </w:r>
      <w:r w:rsidR="00EA1E6A">
        <w:rPr>
          <w:rFonts w:ascii="Times New Roman" w:eastAsia="Times New Roman" w:hAnsi="Times New Roman" w:cs="Times New Roman"/>
          <w:sz w:val="24"/>
          <w:szCs w:val="24"/>
        </w:rPr>
        <w:t xml:space="preserve">convergen diversos factores de carácter </w:t>
      </w:r>
      <w:r w:rsidR="00D46EB4">
        <w:rPr>
          <w:rFonts w:ascii="Times New Roman" w:eastAsia="Times New Roman" w:hAnsi="Times New Roman" w:cs="Times New Roman"/>
          <w:sz w:val="24"/>
          <w:szCs w:val="24"/>
        </w:rPr>
        <w:t>familiar, social y biológico</w:t>
      </w:r>
      <w:r w:rsidR="00C45A40">
        <w:rPr>
          <w:rFonts w:ascii="Times New Roman" w:eastAsia="Times New Roman" w:hAnsi="Times New Roman" w:cs="Times New Roman"/>
          <w:sz w:val="24"/>
          <w:szCs w:val="24"/>
        </w:rPr>
        <w:t>,</w:t>
      </w:r>
      <w:r w:rsidR="00D46EB4">
        <w:rPr>
          <w:rFonts w:ascii="Times New Roman" w:eastAsia="Times New Roman" w:hAnsi="Times New Roman" w:cs="Times New Roman"/>
          <w:sz w:val="24"/>
          <w:szCs w:val="24"/>
        </w:rPr>
        <w:t xml:space="preserve"> incluso en este último manifiestan que es posible que la etapa de menarquia </w:t>
      </w:r>
      <w:r w:rsidR="001934F1">
        <w:rPr>
          <w:rFonts w:ascii="Times New Roman" w:eastAsia="Times New Roman" w:hAnsi="Times New Roman" w:cs="Times New Roman"/>
          <w:sz w:val="24"/>
          <w:szCs w:val="24"/>
        </w:rPr>
        <w:t xml:space="preserve">en las niñas, que es </w:t>
      </w:r>
      <w:r w:rsidR="00BB4D3A">
        <w:rPr>
          <w:rFonts w:ascii="Times New Roman" w:eastAsia="Times New Roman" w:hAnsi="Times New Roman" w:cs="Times New Roman"/>
          <w:sz w:val="24"/>
          <w:szCs w:val="24"/>
        </w:rPr>
        <w:t>específicamente</w:t>
      </w:r>
      <w:r w:rsidR="001934F1">
        <w:rPr>
          <w:rFonts w:ascii="Times New Roman" w:eastAsia="Times New Roman" w:hAnsi="Times New Roman" w:cs="Times New Roman"/>
          <w:sz w:val="24"/>
          <w:szCs w:val="24"/>
        </w:rPr>
        <w:t xml:space="preserve"> cuando se desarrollan y ho</w:t>
      </w:r>
      <w:r w:rsidR="00BB4D3A">
        <w:rPr>
          <w:rFonts w:ascii="Times New Roman" w:eastAsia="Times New Roman" w:hAnsi="Times New Roman" w:cs="Times New Roman"/>
          <w:sz w:val="24"/>
          <w:szCs w:val="24"/>
        </w:rPr>
        <w:t>r</w:t>
      </w:r>
      <w:r w:rsidR="001934F1">
        <w:rPr>
          <w:rFonts w:ascii="Times New Roman" w:eastAsia="Times New Roman" w:hAnsi="Times New Roman" w:cs="Times New Roman"/>
          <w:sz w:val="24"/>
          <w:szCs w:val="24"/>
        </w:rPr>
        <w:t xml:space="preserve">monal en los hombres, quienes </w:t>
      </w:r>
      <w:r w:rsidR="001934F1">
        <w:rPr>
          <w:rFonts w:ascii="Times New Roman" w:eastAsia="Times New Roman" w:hAnsi="Times New Roman" w:cs="Times New Roman"/>
          <w:sz w:val="24"/>
          <w:szCs w:val="24"/>
        </w:rPr>
        <w:lastRenderedPageBreak/>
        <w:t>tienen una tran</w:t>
      </w:r>
      <w:r w:rsidR="00BB4D3A">
        <w:rPr>
          <w:rFonts w:ascii="Times New Roman" w:eastAsia="Times New Roman" w:hAnsi="Times New Roman" w:cs="Times New Roman"/>
          <w:sz w:val="24"/>
          <w:szCs w:val="24"/>
        </w:rPr>
        <w:t>s</w:t>
      </w:r>
      <w:r w:rsidR="001934F1">
        <w:rPr>
          <w:rFonts w:ascii="Times New Roman" w:eastAsia="Times New Roman" w:hAnsi="Times New Roman" w:cs="Times New Roman"/>
          <w:sz w:val="24"/>
          <w:szCs w:val="24"/>
        </w:rPr>
        <w:t>formación en su bi</w:t>
      </w:r>
      <w:r w:rsidR="00BB4D3A">
        <w:rPr>
          <w:rFonts w:ascii="Times New Roman" w:eastAsia="Times New Roman" w:hAnsi="Times New Roman" w:cs="Times New Roman"/>
          <w:sz w:val="24"/>
          <w:szCs w:val="24"/>
        </w:rPr>
        <w:t>ología</w:t>
      </w:r>
      <w:r w:rsidR="00C85262">
        <w:rPr>
          <w:rFonts w:ascii="Times New Roman" w:eastAsia="Times New Roman" w:hAnsi="Times New Roman" w:cs="Times New Roman"/>
          <w:sz w:val="24"/>
          <w:szCs w:val="24"/>
        </w:rPr>
        <w:t xml:space="preserve">, podría </w:t>
      </w:r>
      <w:r w:rsidR="00BD4F5B">
        <w:rPr>
          <w:rFonts w:ascii="Times New Roman" w:eastAsia="Times New Roman" w:hAnsi="Times New Roman" w:cs="Times New Roman"/>
          <w:sz w:val="24"/>
          <w:szCs w:val="24"/>
        </w:rPr>
        <w:t xml:space="preserve">o no </w:t>
      </w:r>
      <w:r w:rsidR="00C85262">
        <w:rPr>
          <w:rFonts w:ascii="Times New Roman" w:eastAsia="Times New Roman" w:hAnsi="Times New Roman" w:cs="Times New Roman"/>
          <w:sz w:val="24"/>
          <w:szCs w:val="24"/>
        </w:rPr>
        <w:t xml:space="preserve">incidir </w:t>
      </w:r>
      <w:r w:rsidR="00BD4F5B">
        <w:rPr>
          <w:rFonts w:ascii="Times New Roman" w:eastAsia="Times New Roman" w:hAnsi="Times New Roman" w:cs="Times New Roman"/>
          <w:sz w:val="24"/>
          <w:szCs w:val="24"/>
        </w:rPr>
        <w:t>para que se genere el</w:t>
      </w:r>
      <w:r w:rsidR="0007167A">
        <w:rPr>
          <w:rFonts w:ascii="Times New Roman" w:eastAsia="Times New Roman" w:hAnsi="Times New Roman" w:cs="Times New Roman"/>
          <w:sz w:val="24"/>
          <w:szCs w:val="24"/>
        </w:rPr>
        <w:t xml:space="preserve"> interés sexual de manera temprana, </w:t>
      </w:r>
      <w:r w:rsidR="00BD4F5B">
        <w:rPr>
          <w:rFonts w:ascii="Times New Roman" w:eastAsia="Times New Roman" w:hAnsi="Times New Roman" w:cs="Times New Roman"/>
          <w:sz w:val="24"/>
          <w:szCs w:val="24"/>
        </w:rPr>
        <w:t xml:space="preserve">finalmente, </w:t>
      </w:r>
      <w:r w:rsidR="0007167A">
        <w:rPr>
          <w:rFonts w:ascii="Times New Roman" w:eastAsia="Times New Roman" w:hAnsi="Times New Roman" w:cs="Times New Roman"/>
          <w:sz w:val="24"/>
          <w:szCs w:val="24"/>
        </w:rPr>
        <w:t>enfatizan que no es posible establecer</w:t>
      </w:r>
      <w:r w:rsidR="00D46EB4">
        <w:rPr>
          <w:rFonts w:ascii="Times New Roman" w:eastAsia="Times New Roman" w:hAnsi="Times New Roman" w:cs="Times New Roman"/>
          <w:sz w:val="24"/>
          <w:szCs w:val="24"/>
        </w:rPr>
        <w:t xml:space="preserve"> </w:t>
      </w:r>
      <w:r w:rsidR="0051506E">
        <w:rPr>
          <w:rFonts w:ascii="Times New Roman" w:eastAsia="Times New Roman" w:hAnsi="Times New Roman" w:cs="Times New Roman"/>
          <w:sz w:val="24"/>
          <w:szCs w:val="24"/>
        </w:rPr>
        <w:t>la edad exacta para la autodeterminación sexual.</w:t>
      </w:r>
    </w:p>
    <w:p w14:paraId="28FEE386" w14:textId="77777777" w:rsidR="004B11A2" w:rsidRDefault="004B11A2" w:rsidP="00B939F3">
      <w:pPr>
        <w:shd w:val="clear" w:color="auto" w:fill="FFFFFF"/>
        <w:spacing w:after="0" w:line="480" w:lineRule="auto"/>
        <w:rPr>
          <w:rFonts w:ascii="Times New Roman" w:eastAsia="Times New Roman" w:hAnsi="Times New Roman" w:cs="Times New Roman"/>
          <w:sz w:val="24"/>
          <w:szCs w:val="24"/>
        </w:rPr>
      </w:pPr>
    </w:p>
    <w:p w14:paraId="3AC352ED" w14:textId="41079FF9" w:rsidR="009945D3" w:rsidRDefault="002E1176" w:rsidP="00B939F3">
      <w:pPr>
        <w:shd w:val="clear" w:color="auto" w:fill="FFFFFF"/>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la</w:t>
      </w:r>
      <w:r w:rsidR="009945D3">
        <w:rPr>
          <w:rFonts w:ascii="Times New Roman" w:eastAsia="Times New Roman" w:hAnsi="Times New Roman" w:cs="Times New Roman"/>
          <w:sz w:val="24"/>
          <w:szCs w:val="24"/>
        </w:rPr>
        <w:t xml:space="preserve"> Universidad de los Andes </w:t>
      </w:r>
      <w:r w:rsidR="00F70DAB">
        <w:rPr>
          <w:rFonts w:ascii="Times New Roman" w:eastAsia="Times New Roman" w:hAnsi="Times New Roman" w:cs="Times New Roman"/>
          <w:sz w:val="24"/>
          <w:szCs w:val="24"/>
        </w:rPr>
        <w:t xml:space="preserve">presenta contestación en los siguientes términos: </w:t>
      </w:r>
    </w:p>
    <w:p w14:paraId="5779B84C" w14:textId="77777777" w:rsidR="002B21EB" w:rsidRDefault="002B21EB" w:rsidP="00B939F3">
      <w:pPr>
        <w:shd w:val="clear" w:color="auto" w:fill="FFFFFF"/>
        <w:spacing w:after="0" w:line="480" w:lineRule="auto"/>
        <w:ind w:left="720"/>
        <w:rPr>
          <w:rFonts w:ascii="Times New Roman" w:eastAsia="Times New Roman" w:hAnsi="Times New Roman" w:cs="Times New Roman"/>
          <w:sz w:val="24"/>
          <w:szCs w:val="24"/>
        </w:rPr>
      </w:pPr>
    </w:p>
    <w:p w14:paraId="108C5FE4" w14:textId="149E99F9" w:rsidR="002B21EB" w:rsidRPr="002B21EB" w:rsidRDefault="002B21EB" w:rsidP="00B939F3">
      <w:pPr>
        <w:pStyle w:val="Prrafodelista"/>
        <w:numPr>
          <w:ilvl w:val="0"/>
          <w:numId w:val="29"/>
        </w:numPr>
        <w:shd w:val="clear" w:color="auto" w:fill="FFFFFF"/>
        <w:spacing w:after="0" w:line="480" w:lineRule="auto"/>
        <w:rPr>
          <w:rFonts w:ascii="Times New Roman" w:eastAsia="Times New Roman" w:hAnsi="Times New Roman" w:cs="Times New Roman"/>
          <w:sz w:val="24"/>
          <w:szCs w:val="24"/>
        </w:rPr>
      </w:pPr>
      <w:r w:rsidRPr="002B21EB">
        <w:rPr>
          <w:rFonts w:ascii="Times New Roman" w:eastAsia="Times New Roman" w:hAnsi="Times New Roman" w:cs="Times New Roman"/>
          <w:sz w:val="24"/>
          <w:szCs w:val="24"/>
        </w:rPr>
        <w:t>La edad no es el único factor a tener en cuenta, recordando que la edad cronológica de una persona no es un indicador fiable de su madurez biológica o su grado de desarrollo cognitivo o emocional. Al decidir si otorgar permiso sexual, se debe considerar el desarrollo cognitivo, emocional y social del niño, todos los cuales están influenciados por su biología y entorno.</w:t>
      </w:r>
    </w:p>
    <w:p w14:paraId="70E2C536" w14:textId="7E88378F" w:rsidR="002B21EB" w:rsidRPr="002B21EB" w:rsidRDefault="002B21EB" w:rsidP="00B939F3">
      <w:pPr>
        <w:pStyle w:val="Prrafodelista"/>
        <w:numPr>
          <w:ilvl w:val="0"/>
          <w:numId w:val="29"/>
        </w:numPr>
        <w:shd w:val="clear" w:color="auto" w:fill="FFFFFF"/>
        <w:spacing w:after="0" w:line="480" w:lineRule="auto"/>
        <w:rPr>
          <w:rFonts w:ascii="Times New Roman" w:eastAsia="Times New Roman" w:hAnsi="Times New Roman" w:cs="Times New Roman"/>
          <w:sz w:val="24"/>
          <w:szCs w:val="24"/>
        </w:rPr>
      </w:pPr>
      <w:r w:rsidRPr="002B21EB">
        <w:rPr>
          <w:rFonts w:ascii="Times New Roman" w:eastAsia="Times New Roman" w:hAnsi="Times New Roman" w:cs="Times New Roman"/>
          <w:sz w:val="24"/>
          <w:szCs w:val="24"/>
        </w:rPr>
        <w:t>Varias teorías sugieren que el desarrollo sexual y hormonal temprano, como las diferencias en la maduración, es un factor de riesgo. Se cree que esto es así porque las personas que alcanzan la madurez sexual temprano son más susceptibles a dificultades de desarrollo y ambientales. Dado que los cambios físicos de la pubertad tienen un impacto en cómo los niños y las niñas se ven a sí mismos y son tratados, se cree que la aparición temprana de signos físicos de desarrollo sexual altera los estados emocionales de ambos sexos. Según otra teoría, la causa sería la diferencia entre el crecimiento social y físico.</w:t>
      </w:r>
    </w:p>
    <w:p w14:paraId="1C97C836" w14:textId="0769096D" w:rsidR="002B21EB" w:rsidRPr="002B21EB" w:rsidRDefault="002B21EB" w:rsidP="00B939F3">
      <w:pPr>
        <w:pStyle w:val="Prrafodelista"/>
        <w:numPr>
          <w:ilvl w:val="0"/>
          <w:numId w:val="29"/>
        </w:numPr>
        <w:shd w:val="clear" w:color="auto" w:fill="FFFFFF"/>
        <w:spacing w:after="0" w:line="480" w:lineRule="auto"/>
        <w:rPr>
          <w:rFonts w:ascii="Times New Roman" w:eastAsia="Times New Roman" w:hAnsi="Times New Roman" w:cs="Times New Roman"/>
          <w:sz w:val="24"/>
          <w:szCs w:val="24"/>
        </w:rPr>
      </w:pPr>
      <w:r w:rsidRPr="002B21EB">
        <w:rPr>
          <w:rFonts w:ascii="Times New Roman" w:eastAsia="Times New Roman" w:hAnsi="Times New Roman" w:cs="Times New Roman"/>
          <w:sz w:val="24"/>
          <w:szCs w:val="24"/>
        </w:rPr>
        <w:t>Aseguran que, dado que el desarrollo cognitivo y emocional de cada uno varía enormemente, no existe una edad de consentimiento generalizable.</w:t>
      </w:r>
    </w:p>
    <w:p w14:paraId="208A7923" w14:textId="052FCC9D" w:rsidR="00113834" w:rsidRDefault="002B21EB" w:rsidP="00B939F3">
      <w:pPr>
        <w:pStyle w:val="Prrafodelista"/>
        <w:numPr>
          <w:ilvl w:val="0"/>
          <w:numId w:val="29"/>
        </w:numPr>
        <w:shd w:val="clear" w:color="auto" w:fill="FFFFFF"/>
        <w:spacing w:after="0" w:line="480" w:lineRule="auto"/>
        <w:rPr>
          <w:rFonts w:ascii="Times New Roman" w:eastAsia="Times New Roman" w:hAnsi="Times New Roman" w:cs="Times New Roman"/>
          <w:sz w:val="24"/>
          <w:szCs w:val="24"/>
        </w:rPr>
      </w:pPr>
      <w:r w:rsidRPr="002B21EB">
        <w:rPr>
          <w:rFonts w:ascii="Times New Roman" w:eastAsia="Times New Roman" w:hAnsi="Times New Roman" w:cs="Times New Roman"/>
          <w:sz w:val="24"/>
          <w:szCs w:val="24"/>
        </w:rPr>
        <w:lastRenderedPageBreak/>
        <w:t>Argumentan que los posibles impactos psicológicos de un castigo penal en un joven dependen de lo que implique ese castigo; si esa sanción incluye cárcel, podrían tener repercusiones sociales y psicológicas (Sentencia T-142, 2019).</w:t>
      </w:r>
    </w:p>
    <w:p w14:paraId="71A5AB7D" w14:textId="77777777" w:rsidR="0072178F" w:rsidRPr="0072178F" w:rsidRDefault="0072178F" w:rsidP="00B939F3">
      <w:pPr>
        <w:pStyle w:val="Prrafodelista"/>
        <w:spacing w:line="480" w:lineRule="auto"/>
        <w:rPr>
          <w:rFonts w:ascii="Times New Roman" w:eastAsia="Times New Roman" w:hAnsi="Times New Roman" w:cs="Times New Roman"/>
          <w:color w:val="2D2D2D"/>
          <w:sz w:val="24"/>
          <w:szCs w:val="24"/>
          <w:lang w:eastAsia="es-CO"/>
        </w:rPr>
      </w:pPr>
    </w:p>
    <w:p w14:paraId="73D4EC54" w14:textId="70D86F5B" w:rsidR="0072178F" w:rsidRPr="0072178F" w:rsidRDefault="00B35C91" w:rsidP="00B939F3">
      <w:pPr>
        <w:shd w:val="clear" w:color="auto" w:fill="FFFFFF"/>
        <w:spacing w:after="0" w:line="480" w:lineRule="auto"/>
        <w:rPr>
          <w:rFonts w:ascii="Times New Roman" w:eastAsia="Times New Roman" w:hAnsi="Times New Roman" w:cs="Times New Roman"/>
          <w:color w:val="2D2D2D"/>
          <w:sz w:val="24"/>
          <w:szCs w:val="24"/>
          <w:lang w:eastAsia="es-CO"/>
        </w:rPr>
      </w:pPr>
      <w:r>
        <w:rPr>
          <w:rFonts w:ascii="Times New Roman" w:eastAsia="Times New Roman" w:hAnsi="Times New Roman" w:cs="Times New Roman"/>
          <w:color w:val="2D2D2D"/>
          <w:sz w:val="24"/>
          <w:szCs w:val="24"/>
          <w:lang w:eastAsia="es-CO"/>
        </w:rPr>
        <w:t xml:space="preserve">           </w:t>
      </w:r>
      <w:r w:rsidR="0072178F">
        <w:rPr>
          <w:rFonts w:ascii="Times New Roman" w:eastAsia="Times New Roman" w:hAnsi="Times New Roman" w:cs="Times New Roman"/>
          <w:color w:val="2D2D2D"/>
          <w:sz w:val="24"/>
          <w:szCs w:val="24"/>
          <w:lang w:eastAsia="es-CO"/>
        </w:rPr>
        <w:t>La Universidad de Los Andes</w:t>
      </w:r>
      <w:r w:rsidR="007A638D">
        <w:rPr>
          <w:rFonts w:ascii="Times New Roman" w:eastAsia="Times New Roman" w:hAnsi="Times New Roman" w:cs="Times New Roman"/>
          <w:color w:val="2D2D2D"/>
          <w:sz w:val="24"/>
          <w:szCs w:val="24"/>
          <w:lang w:eastAsia="es-CO"/>
        </w:rPr>
        <w:t xml:space="preserve"> coincide con la Universidad</w:t>
      </w:r>
      <w:r w:rsidR="00BB4D3A">
        <w:rPr>
          <w:rFonts w:ascii="Times New Roman" w:eastAsia="Times New Roman" w:hAnsi="Times New Roman" w:cs="Times New Roman"/>
          <w:color w:val="2D2D2D"/>
          <w:sz w:val="24"/>
          <w:szCs w:val="24"/>
          <w:lang w:eastAsia="es-CO"/>
        </w:rPr>
        <w:t xml:space="preserve"> de la Sabana cuando hace referencia a</w:t>
      </w:r>
      <w:r w:rsidR="008F4A15">
        <w:rPr>
          <w:rFonts w:ascii="Times New Roman" w:eastAsia="Times New Roman" w:hAnsi="Times New Roman" w:cs="Times New Roman"/>
          <w:color w:val="2D2D2D"/>
          <w:sz w:val="24"/>
          <w:szCs w:val="24"/>
          <w:lang w:eastAsia="es-CO"/>
        </w:rPr>
        <w:t xml:space="preserve">l factor de riesgo </w:t>
      </w:r>
      <w:r w:rsidR="00BB4D3A">
        <w:rPr>
          <w:rFonts w:ascii="Times New Roman" w:eastAsia="Times New Roman" w:hAnsi="Times New Roman" w:cs="Times New Roman"/>
          <w:color w:val="2D2D2D"/>
          <w:sz w:val="24"/>
          <w:szCs w:val="24"/>
          <w:lang w:eastAsia="es-CO"/>
        </w:rPr>
        <w:t xml:space="preserve">que </w:t>
      </w:r>
      <w:r w:rsidR="006135F9">
        <w:rPr>
          <w:rFonts w:ascii="Times New Roman" w:eastAsia="Times New Roman" w:hAnsi="Times New Roman" w:cs="Times New Roman"/>
          <w:color w:val="2D2D2D"/>
          <w:sz w:val="24"/>
          <w:szCs w:val="24"/>
          <w:lang w:eastAsia="es-CO"/>
        </w:rPr>
        <w:t xml:space="preserve">se da cuando se presenta el </w:t>
      </w:r>
      <w:r w:rsidR="0017759D">
        <w:rPr>
          <w:rFonts w:ascii="Times New Roman" w:eastAsia="Times New Roman" w:hAnsi="Times New Roman" w:cs="Times New Roman"/>
          <w:color w:val="2D2D2D"/>
          <w:sz w:val="24"/>
          <w:szCs w:val="24"/>
          <w:lang w:eastAsia="es-CO"/>
        </w:rPr>
        <w:t xml:space="preserve">desarrollo hormonal temprano, puesto que esta etapa genera cambios que </w:t>
      </w:r>
      <w:r w:rsidR="008F4A15">
        <w:rPr>
          <w:rFonts w:ascii="Times New Roman" w:eastAsia="Times New Roman" w:hAnsi="Times New Roman" w:cs="Times New Roman"/>
          <w:color w:val="2D2D2D"/>
          <w:sz w:val="24"/>
          <w:szCs w:val="24"/>
          <w:lang w:eastAsia="es-CO"/>
        </w:rPr>
        <w:t xml:space="preserve">pueden </w:t>
      </w:r>
      <w:r w:rsidR="00FC3594">
        <w:rPr>
          <w:rFonts w:ascii="Times New Roman" w:eastAsia="Times New Roman" w:hAnsi="Times New Roman" w:cs="Times New Roman"/>
          <w:color w:val="2D2D2D"/>
          <w:sz w:val="24"/>
          <w:szCs w:val="24"/>
          <w:lang w:eastAsia="es-CO"/>
        </w:rPr>
        <w:t>generarse en el menor</w:t>
      </w:r>
      <w:r w:rsidR="006135F9">
        <w:rPr>
          <w:rFonts w:ascii="Times New Roman" w:eastAsia="Times New Roman" w:hAnsi="Times New Roman" w:cs="Times New Roman"/>
          <w:color w:val="2D2D2D"/>
          <w:sz w:val="24"/>
          <w:szCs w:val="24"/>
          <w:lang w:eastAsia="es-CO"/>
        </w:rPr>
        <w:t>,</w:t>
      </w:r>
      <w:r w:rsidR="00E12629">
        <w:rPr>
          <w:rFonts w:ascii="Times New Roman" w:eastAsia="Times New Roman" w:hAnsi="Times New Roman" w:cs="Times New Roman"/>
          <w:color w:val="2D2D2D"/>
          <w:sz w:val="24"/>
          <w:szCs w:val="24"/>
          <w:lang w:eastAsia="es-CO"/>
        </w:rPr>
        <w:t xml:space="preserve"> que incidan directamente en la necesidad de exploración sexual</w:t>
      </w:r>
      <w:r w:rsidR="00C80C92">
        <w:rPr>
          <w:rFonts w:ascii="Times New Roman" w:eastAsia="Times New Roman" w:hAnsi="Times New Roman" w:cs="Times New Roman"/>
          <w:color w:val="2D2D2D"/>
          <w:sz w:val="24"/>
          <w:szCs w:val="24"/>
          <w:lang w:eastAsia="es-CO"/>
        </w:rPr>
        <w:t xml:space="preserve">, </w:t>
      </w:r>
      <w:r w:rsidR="005B116A">
        <w:rPr>
          <w:rFonts w:ascii="Times New Roman" w:eastAsia="Times New Roman" w:hAnsi="Times New Roman" w:cs="Times New Roman"/>
          <w:color w:val="2D2D2D"/>
          <w:sz w:val="24"/>
          <w:szCs w:val="24"/>
          <w:lang w:eastAsia="es-CO"/>
        </w:rPr>
        <w:t xml:space="preserve">así como </w:t>
      </w:r>
      <w:r w:rsidR="00C80C92">
        <w:rPr>
          <w:rFonts w:ascii="Times New Roman" w:eastAsia="Times New Roman" w:hAnsi="Times New Roman" w:cs="Times New Roman"/>
          <w:color w:val="2D2D2D"/>
          <w:sz w:val="24"/>
          <w:szCs w:val="24"/>
          <w:lang w:eastAsia="es-CO"/>
        </w:rPr>
        <w:t xml:space="preserve">la necesidad de aprobación, </w:t>
      </w:r>
      <w:r w:rsidR="00D86C0D">
        <w:rPr>
          <w:rFonts w:ascii="Times New Roman" w:eastAsia="Times New Roman" w:hAnsi="Times New Roman" w:cs="Times New Roman"/>
          <w:color w:val="2D2D2D"/>
          <w:sz w:val="24"/>
          <w:szCs w:val="24"/>
          <w:lang w:eastAsia="es-CO"/>
        </w:rPr>
        <w:t>sumado a las transformaciones físicas que se dan en el desarrollo temprano y los cambios que se generan en esta etapa a nivel emocional</w:t>
      </w:r>
      <w:r w:rsidR="006135F9">
        <w:rPr>
          <w:rFonts w:ascii="Times New Roman" w:eastAsia="Times New Roman" w:hAnsi="Times New Roman" w:cs="Times New Roman"/>
          <w:color w:val="2D2D2D"/>
          <w:sz w:val="24"/>
          <w:szCs w:val="24"/>
          <w:lang w:eastAsia="es-CO"/>
        </w:rPr>
        <w:t xml:space="preserve">. En el </w:t>
      </w:r>
      <w:r w:rsidR="007F2AB0">
        <w:rPr>
          <w:rFonts w:ascii="Times New Roman" w:eastAsia="Times New Roman" w:hAnsi="Times New Roman" w:cs="Times New Roman"/>
          <w:color w:val="2D2D2D"/>
          <w:sz w:val="24"/>
          <w:szCs w:val="24"/>
          <w:lang w:eastAsia="es-CO"/>
        </w:rPr>
        <w:t>análisis</w:t>
      </w:r>
      <w:r w:rsidR="006135F9">
        <w:rPr>
          <w:rFonts w:ascii="Times New Roman" w:eastAsia="Times New Roman" w:hAnsi="Times New Roman" w:cs="Times New Roman"/>
          <w:color w:val="2D2D2D"/>
          <w:sz w:val="24"/>
          <w:szCs w:val="24"/>
          <w:lang w:eastAsia="es-CO"/>
        </w:rPr>
        <w:t xml:space="preserve"> realizado resaltan la importancia del relacionamiento y los pares o personas de su misma edad, que puedan incidir en este tipo de decisiones o comportamientos</w:t>
      </w:r>
      <w:r w:rsidR="00E267C5">
        <w:rPr>
          <w:rFonts w:ascii="Times New Roman" w:eastAsia="Times New Roman" w:hAnsi="Times New Roman" w:cs="Times New Roman"/>
          <w:color w:val="2D2D2D"/>
          <w:sz w:val="24"/>
          <w:szCs w:val="24"/>
          <w:lang w:eastAsia="es-CO"/>
        </w:rPr>
        <w:t xml:space="preserve"> considerados desviados</w:t>
      </w:r>
      <w:r w:rsidR="006135F9">
        <w:rPr>
          <w:rFonts w:ascii="Times New Roman" w:eastAsia="Times New Roman" w:hAnsi="Times New Roman" w:cs="Times New Roman"/>
          <w:color w:val="2D2D2D"/>
          <w:sz w:val="24"/>
          <w:szCs w:val="24"/>
          <w:lang w:eastAsia="es-CO"/>
        </w:rPr>
        <w:t>.</w:t>
      </w:r>
    </w:p>
    <w:p w14:paraId="3FD6CD21" w14:textId="77777777" w:rsidR="00B229B7" w:rsidRDefault="00B229B7" w:rsidP="00B939F3">
      <w:pPr>
        <w:pStyle w:val="Prrafodelista"/>
        <w:spacing w:line="480" w:lineRule="auto"/>
        <w:rPr>
          <w:rFonts w:ascii="Times New Roman" w:eastAsia="Times New Roman" w:hAnsi="Times New Roman" w:cs="Times New Roman"/>
          <w:sz w:val="24"/>
          <w:szCs w:val="24"/>
        </w:rPr>
      </w:pPr>
    </w:p>
    <w:p w14:paraId="1F274034" w14:textId="4586DDEC" w:rsidR="00B229B7" w:rsidRDefault="002E1176" w:rsidP="00B939F3">
      <w:pPr>
        <w:shd w:val="clear" w:color="auto" w:fill="FFFFFF"/>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w:t>
      </w:r>
      <w:r w:rsidR="00B229B7">
        <w:rPr>
          <w:rFonts w:ascii="Times New Roman" w:eastAsia="Times New Roman" w:hAnsi="Times New Roman" w:cs="Times New Roman"/>
          <w:sz w:val="24"/>
          <w:szCs w:val="24"/>
        </w:rPr>
        <w:t xml:space="preserve"> el ICBF </w:t>
      </w:r>
      <w:r w:rsidR="00F56091">
        <w:rPr>
          <w:rFonts w:ascii="Times New Roman" w:eastAsia="Times New Roman" w:hAnsi="Times New Roman" w:cs="Times New Roman"/>
          <w:sz w:val="24"/>
          <w:szCs w:val="24"/>
        </w:rPr>
        <w:t xml:space="preserve">brindó respuesta en los siguientes términos: </w:t>
      </w:r>
    </w:p>
    <w:p w14:paraId="0C97E449" w14:textId="77777777" w:rsidR="0066692C" w:rsidRPr="0066692C" w:rsidRDefault="00F56091" w:rsidP="00B939F3">
      <w:pPr>
        <w:shd w:val="clear" w:color="auto" w:fill="FFFFFF"/>
        <w:spacing w:after="0" w:line="480" w:lineRule="auto"/>
        <w:ind w:left="720"/>
        <w:rPr>
          <w:rFonts w:ascii="Times New Roman" w:eastAsia="Times New Roman" w:hAnsi="Times New Roman" w:cs="Times New Roman"/>
          <w:sz w:val="24"/>
          <w:szCs w:val="24"/>
        </w:rPr>
      </w:pPr>
      <w:r w:rsidRPr="00F56091">
        <w:rPr>
          <w:rFonts w:ascii="Times New Roman" w:eastAsia="Times New Roman" w:hAnsi="Times New Roman" w:cs="Times New Roman"/>
          <w:sz w:val="24"/>
          <w:szCs w:val="24"/>
        </w:rPr>
        <w:br/>
      </w:r>
      <w:r w:rsidR="0066692C" w:rsidRPr="0066692C">
        <w:rPr>
          <w:rFonts w:ascii="Times New Roman" w:eastAsia="Times New Roman" w:hAnsi="Times New Roman" w:cs="Times New Roman"/>
          <w:sz w:val="24"/>
          <w:szCs w:val="24"/>
        </w:rPr>
        <w:t>(i) En respuesta a la primera pregunta, se considera ampliamente que los niños menores de catorce años no poseen la madurez mental necesaria para comprender y evaluar el acto sexual. Por esta razón, se abstienen de hacerlo en circunstancias que requieren moderación, incluso si "consienten" en ejecutarlo o participar en comportamientos sexuales que son distintos a él.</w:t>
      </w:r>
    </w:p>
    <w:p w14:paraId="3A1D6D35" w14:textId="77777777" w:rsidR="0066692C" w:rsidRPr="0066692C" w:rsidRDefault="0066692C" w:rsidP="00B939F3">
      <w:pPr>
        <w:shd w:val="clear" w:color="auto" w:fill="FFFFFF"/>
        <w:spacing w:after="0" w:line="480" w:lineRule="auto"/>
        <w:ind w:left="720"/>
        <w:rPr>
          <w:rFonts w:ascii="Times New Roman" w:eastAsia="Times New Roman" w:hAnsi="Times New Roman" w:cs="Times New Roman"/>
          <w:sz w:val="24"/>
          <w:szCs w:val="24"/>
        </w:rPr>
      </w:pPr>
    </w:p>
    <w:p w14:paraId="15F355EF" w14:textId="471456C7" w:rsidR="0066692C" w:rsidRPr="0066692C" w:rsidRDefault="0066692C" w:rsidP="00B939F3">
      <w:pPr>
        <w:shd w:val="clear" w:color="auto" w:fill="FFFFFF"/>
        <w:spacing w:after="0" w:line="480" w:lineRule="auto"/>
        <w:ind w:left="720"/>
        <w:rPr>
          <w:rFonts w:ascii="Times New Roman" w:eastAsia="Times New Roman" w:hAnsi="Times New Roman" w:cs="Times New Roman"/>
          <w:sz w:val="24"/>
          <w:szCs w:val="24"/>
        </w:rPr>
      </w:pPr>
      <w:r w:rsidRPr="0066692C">
        <w:rPr>
          <w:rFonts w:ascii="Times New Roman" w:eastAsia="Times New Roman" w:hAnsi="Times New Roman" w:cs="Times New Roman"/>
          <w:sz w:val="24"/>
          <w:szCs w:val="24"/>
        </w:rPr>
        <w:t xml:space="preserve">(ii) En cuanto al segundo criterio, se destaca que, aunque una persona mayor de catorce años tiene legalmente la capacidad de dar su consentimiento a un acto sexual, </w:t>
      </w:r>
      <w:r w:rsidRPr="0066692C">
        <w:rPr>
          <w:rFonts w:ascii="Times New Roman" w:eastAsia="Times New Roman" w:hAnsi="Times New Roman" w:cs="Times New Roman"/>
          <w:sz w:val="24"/>
          <w:szCs w:val="24"/>
        </w:rPr>
        <w:lastRenderedPageBreak/>
        <w:t>existen otros factores que deben tenerse en cuenta, como la edad, el estatus y las relaciones de poder asimétricas entre la víctima y el perpetrador, así como la coerción física y/o psicológica, el engaño, el chantaje, la manipulación, la etnia y las circunstancias socioeconómicas.</w:t>
      </w:r>
    </w:p>
    <w:p w14:paraId="333476D6" w14:textId="77777777" w:rsidR="0066692C" w:rsidRPr="0066692C" w:rsidRDefault="0066692C" w:rsidP="00B939F3">
      <w:pPr>
        <w:shd w:val="clear" w:color="auto" w:fill="FFFFFF"/>
        <w:spacing w:after="0" w:line="480" w:lineRule="auto"/>
        <w:ind w:left="720"/>
        <w:rPr>
          <w:rFonts w:ascii="Times New Roman" w:eastAsia="Times New Roman" w:hAnsi="Times New Roman" w:cs="Times New Roman"/>
          <w:sz w:val="24"/>
          <w:szCs w:val="24"/>
        </w:rPr>
      </w:pPr>
    </w:p>
    <w:p w14:paraId="1BADF864" w14:textId="77777777" w:rsidR="0066692C" w:rsidRDefault="0066692C" w:rsidP="00B939F3">
      <w:pPr>
        <w:shd w:val="clear" w:color="auto" w:fill="FFFFFF"/>
        <w:spacing w:after="0" w:line="480" w:lineRule="auto"/>
        <w:ind w:left="720" w:firstLine="720"/>
        <w:rPr>
          <w:rFonts w:ascii="Times New Roman" w:eastAsia="Times New Roman" w:hAnsi="Times New Roman" w:cs="Times New Roman"/>
          <w:sz w:val="24"/>
          <w:szCs w:val="24"/>
          <w:highlight w:val="yellow"/>
        </w:rPr>
      </w:pPr>
      <w:r w:rsidRPr="0066692C">
        <w:rPr>
          <w:rFonts w:ascii="Times New Roman" w:eastAsia="Times New Roman" w:hAnsi="Times New Roman" w:cs="Times New Roman"/>
          <w:sz w:val="24"/>
          <w:szCs w:val="24"/>
        </w:rPr>
        <w:t>Además de lo anterior, se establece que el estándar de superioridad evidente debe ser tomado en consideración al evaluar si una relación es consensuada o no (Sentencia T-142, 2019).</w:t>
      </w:r>
      <w:r w:rsidRPr="0066692C">
        <w:rPr>
          <w:rFonts w:ascii="Times New Roman" w:eastAsia="Times New Roman" w:hAnsi="Times New Roman" w:cs="Times New Roman"/>
          <w:sz w:val="24"/>
          <w:szCs w:val="24"/>
          <w:highlight w:val="yellow"/>
        </w:rPr>
        <w:t xml:space="preserve"> </w:t>
      </w:r>
    </w:p>
    <w:p w14:paraId="0478BF10" w14:textId="77777777" w:rsidR="00B35C91" w:rsidRDefault="00B35C91" w:rsidP="00B939F3">
      <w:pPr>
        <w:shd w:val="clear" w:color="auto" w:fill="FFFFFF"/>
        <w:spacing w:after="0" w:line="480" w:lineRule="auto"/>
        <w:ind w:left="720"/>
        <w:rPr>
          <w:rFonts w:ascii="Times New Roman" w:eastAsia="Times New Roman" w:hAnsi="Times New Roman" w:cs="Times New Roman"/>
          <w:sz w:val="24"/>
          <w:szCs w:val="24"/>
        </w:rPr>
      </w:pPr>
    </w:p>
    <w:p w14:paraId="7F2FB025" w14:textId="77777777" w:rsidR="00D42234" w:rsidRDefault="00B35C91" w:rsidP="00B939F3">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6EBBDB" w14:textId="357F65FD" w:rsidR="00F70DAB" w:rsidRPr="00666BC4" w:rsidRDefault="00D42234" w:rsidP="00B939F3">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5C91">
        <w:rPr>
          <w:rFonts w:ascii="Times New Roman" w:eastAsia="Times New Roman" w:hAnsi="Times New Roman" w:cs="Times New Roman"/>
          <w:sz w:val="24"/>
          <w:szCs w:val="24"/>
        </w:rPr>
        <w:t xml:space="preserve">Por su parte, el ICBF como Entidad titular </w:t>
      </w:r>
      <w:r w:rsidR="00002590">
        <w:rPr>
          <w:rFonts w:ascii="Times New Roman" w:eastAsia="Times New Roman" w:hAnsi="Times New Roman" w:cs="Times New Roman"/>
          <w:sz w:val="24"/>
          <w:szCs w:val="24"/>
        </w:rPr>
        <w:t>de la atención</w:t>
      </w:r>
      <w:r w:rsidR="00B35C91">
        <w:rPr>
          <w:rFonts w:ascii="Times New Roman" w:eastAsia="Times New Roman" w:hAnsi="Times New Roman" w:cs="Times New Roman"/>
          <w:sz w:val="24"/>
          <w:szCs w:val="24"/>
        </w:rPr>
        <w:t xml:space="preserve"> integral </w:t>
      </w:r>
      <w:r w:rsidR="00002590">
        <w:rPr>
          <w:rFonts w:ascii="Times New Roman" w:eastAsia="Times New Roman" w:hAnsi="Times New Roman" w:cs="Times New Roman"/>
          <w:sz w:val="24"/>
          <w:szCs w:val="24"/>
        </w:rPr>
        <w:t xml:space="preserve">y la garantía de derechos </w:t>
      </w:r>
      <w:r w:rsidR="00B35C91">
        <w:rPr>
          <w:rFonts w:ascii="Times New Roman" w:eastAsia="Times New Roman" w:hAnsi="Times New Roman" w:cs="Times New Roman"/>
          <w:sz w:val="24"/>
          <w:szCs w:val="24"/>
        </w:rPr>
        <w:t>de niños, niñas y adolescentes en Colombia y como líder de todas las Entidades que conforman el Sistema Nacional de Bienestar Familiar</w:t>
      </w:r>
      <w:r w:rsidR="00F56091" w:rsidRPr="00F56091">
        <w:rPr>
          <w:rFonts w:ascii="Times New Roman" w:eastAsia="Times New Roman" w:hAnsi="Times New Roman" w:cs="Times New Roman"/>
          <w:sz w:val="24"/>
          <w:szCs w:val="24"/>
        </w:rPr>
        <w:t> </w:t>
      </w:r>
      <w:r w:rsidR="00002590">
        <w:rPr>
          <w:rFonts w:ascii="Times New Roman" w:eastAsia="Times New Roman" w:hAnsi="Times New Roman" w:cs="Times New Roman"/>
          <w:sz w:val="24"/>
          <w:szCs w:val="24"/>
        </w:rPr>
        <w:t>brinda un concepto más proteccionista, en la medida que señala</w:t>
      </w:r>
      <w:r w:rsidR="00460D6B">
        <w:rPr>
          <w:rFonts w:ascii="Times New Roman" w:eastAsia="Times New Roman" w:hAnsi="Times New Roman" w:cs="Times New Roman"/>
          <w:sz w:val="24"/>
          <w:szCs w:val="24"/>
        </w:rPr>
        <w:t xml:space="preserve"> que antes de los 14 años, el menor no cuenta con la madurez suficiente para consentir</w:t>
      </w:r>
      <w:r w:rsidR="00F7540D">
        <w:rPr>
          <w:rFonts w:ascii="Times New Roman" w:eastAsia="Times New Roman" w:hAnsi="Times New Roman" w:cs="Times New Roman"/>
          <w:sz w:val="24"/>
          <w:szCs w:val="24"/>
        </w:rPr>
        <w:t xml:space="preserve">, por lo que dichos actos sexuales no </w:t>
      </w:r>
      <w:r w:rsidR="00833774">
        <w:rPr>
          <w:rFonts w:ascii="Times New Roman" w:eastAsia="Times New Roman" w:hAnsi="Times New Roman" w:cs="Times New Roman"/>
          <w:sz w:val="24"/>
          <w:szCs w:val="24"/>
        </w:rPr>
        <w:t>serían con suficiente auto control, agregan que después de dicha edad se podría dar un consentimiento, pero deben revisarse los factores biopsicosociales</w:t>
      </w:r>
      <w:r w:rsidR="00023BCF">
        <w:rPr>
          <w:rFonts w:ascii="Times New Roman" w:eastAsia="Times New Roman" w:hAnsi="Times New Roman" w:cs="Times New Roman"/>
          <w:sz w:val="24"/>
          <w:szCs w:val="24"/>
        </w:rPr>
        <w:t xml:space="preserve"> de edad, características físicas y las relaciones de poder que muchas veces se presentan entre </w:t>
      </w:r>
      <w:r w:rsidR="00C2391D">
        <w:rPr>
          <w:rFonts w:ascii="Times New Roman" w:eastAsia="Times New Roman" w:hAnsi="Times New Roman" w:cs="Times New Roman"/>
          <w:sz w:val="24"/>
          <w:szCs w:val="24"/>
        </w:rPr>
        <w:t>víctima</w:t>
      </w:r>
      <w:r w:rsidR="00023BCF">
        <w:rPr>
          <w:rFonts w:ascii="Times New Roman" w:eastAsia="Times New Roman" w:hAnsi="Times New Roman" w:cs="Times New Roman"/>
          <w:sz w:val="24"/>
          <w:szCs w:val="24"/>
        </w:rPr>
        <w:t xml:space="preserve"> y victimario</w:t>
      </w:r>
      <w:r w:rsidR="00A36D93">
        <w:rPr>
          <w:rFonts w:ascii="Times New Roman" w:eastAsia="Times New Roman" w:hAnsi="Times New Roman" w:cs="Times New Roman"/>
          <w:sz w:val="24"/>
          <w:szCs w:val="24"/>
        </w:rPr>
        <w:t>, por lo que, s</w:t>
      </w:r>
      <w:r w:rsidR="00190C4C">
        <w:rPr>
          <w:rFonts w:ascii="Times New Roman" w:eastAsia="Times New Roman" w:hAnsi="Times New Roman" w:cs="Times New Roman"/>
          <w:sz w:val="24"/>
          <w:szCs w:val="24"/>
        </w:rPr>
        <w:t>u</w:t>
      </w:r>
      <w:r w:rsidR="00A36D93">
        <w:rPr>
          <w:rFonts w:ascii="Times New Roman" w:eastAsia="Times New Roman" w:hAnsi="Times New Roman" w:cs="Times New Roman"/>
          <w:sz w:val="24"/>
          <w:szCs w:val="24"/>
        </w:rPr>
        <w:t>gieren que se debe revisar el concepto de supe</w:t>
      </w:r>
      <w:r w:rsidR="00190C4C">
        <w:rPr>
          <w:rFonts w:ascii="Times New Roman" w:eastAsia="Times New Roman" w:hAnsi="Times New Roman" w:cs="Times New Roman"/>
          <w:sz w:val="24"/>
          <w:szCs w:val="24"/>
        </w:rPr>
        <w:t>r</w:t>
      </w:r>
      <w:r w:rsidR="00A36D93">
        <w:rPr>
          <w:rFonts w:ascii="Times New Roman" w:eastAsia="Times New Roman" w:hAnsi="Times New Roman" w:cs="Times New Roman"/>
          <w:sz w:val="24"/>
          <w:szCs w:val="24"/>
        </w:rPr>
        <w:t>ior</w:t>
      </w:r>
      <w:r w:rsidR="00190C4C">
        <w:rPr>
          <w:rFonts w:ascii="Times New Roman" w:eastAsia="Times New Roman" w:hAnsi="Times New Roman" w:cs="Times New Roman"/>
          <w:sz w:val="24"/>
          <w:szCs w:val="24"/>
        </w:rPr>
        <w:t>i</w:t>
      </w:r>
      <w:r w:rsidR="00A36D93">
        <w:rPr>
          <w:rFonts w:ascii="Times New Roman" w:eastAsia="Times New Roman" w:hAnsi="Times New Roman" w:cs="Times New Roman"/>
          <w:sz w:val="24"/>
          <w:szCs w:val="24"/>
        </w:rPr>
        <w:t>dad man</w:t>
      </w:r>
      <w:r w:rsidR="00190C4C">
        <w:rPr>
          <w:rFonts w:ascii="Times New Roman" w:eastAsia="Times New Roman" w:hAnsi="Times New Roman" w:cs="Times New Roman"/>
          <w:sz w:val="24"/>
          <w:szCs w:val="24"/>
        </w:rPr>
        <w:t>i</w:t>
      </w:r>
      <w:r w:rsidR="00A36D93">
        <w:rPr>
          <w:rFonts w:ascii="Times New Roman" w:eastAsia="Times New Roman" w:hAnsi="Times New Roman" w:cs="Times New Roman"/>
          <w:sz w:val="24"/>
          <w:szCs w:val="24"/>
        </w:rPr>
        <w:t xml:space="preserve">fiesta que se pueda haber dado y revisar los demás factores, que puedan incidir en </w:t>
      </w:r>
      <w:r w:rsidR="00190C4C">
        <w:rPr>
          <w:rFonts w:ascii="Times New Roman" w:eastAsia="Times New Roman" w:hAnsi="Times New Roman" w:cs="Times New Roman"/>
          <w:sz w:val="24"/>
          <w:szCs w:val="24"/>
        </w:rPr>
        <w:t>si la conducta es consentida o a mediado la coacción en cualquier grado.</w:t>
      </w:r>
    </w:p>
    <w:p w14:paraId="0C924BC0" w14:textId="77777777" w:rsidR="00B35C91" w:rsidRDefault="00EB0A57" w:rsidP="00B939F3">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79E2AD" w14:textId="19AA7D4D" w:rsidR="00C466AA" w:rsidRPr="00C466AA" w:rsidRDefault="00B713E3" w:rsidP="00B939F3">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66143">
        <w:rPr>
          <w:rFonts w:ascii="Times New Roman" w:eastAsia="Times New Roman" w:hAnsi="Times New Roman" w:cs="Times New Roman"/>
          <w:sz w:val="24"/>
          <w:szCs w:val="24"/>
        </w:rPr>
        <w:t xml:space="preserve"> </w:t>
      </w:r>
      <w:r w:rsidR="00C466AA" w:rsidRPr="00C466AA">
        <w:rPr>
          <w:rFonts w:ascii="Times New Roman" w:eastAsia="Times New Roman" w:hAnsi="Times New Roman" w:cs="Times New Roman"/>
          <w:sz w:val="24"/>
          <w:szCs w:val="24"/>
        </w:rPr>
        <w:t xml:space="preserve">Numerosos factores biopsicosociales, como la educación sexual, la crianza o factores familiares, la prevalencia del contexto social y los compañeros, la educación sexual, aspectos culturales e incluso religiosos, las relaciones de poder entre individuos y la edad en la que uno puede tomar decisiones explícitamente sexuales, pueden inferirse de las respuestas proporcionadas por prestigiosas universidades y el ICBF. </w:t>
      </w:r>
    </w:p>
    <w:p w14:paraId="1FF9CE42" w14:textId="77777777" w:rsidR="00C466AA" w:rsidRPr="00C466AA" w:rsidRDefault="00C466AA" w:rsidP="00B939F3">
      <w:pPr>
        <w:shd w:val="clear" w:color="auto" w:fill="FFFFFF"/>
        <w:spacing w:after="0" w:line="480" w:lineRule="auto"/>
        <w:rPr>
          <w:rFonts w:ascii="Times New Roman" w:eastAsia="Times New Roman" w:hAnsi="Times New Roman" w:cs="Times New Roman"/>
          <w:sz w:val="24"/>
          <w:szCs w:val="24"/>
        </w:rPr>
      </w:pPr>
    </w:p>
    <w:p w14:paraId="1583E52F" w14:textId="77777777" w:rsidR="00C466AA" w:rsidRDefault="00C466AA" w:rsidP="00B939F3">
      <w:pPr>
        <w:shd w:val="clear" w:color="auto" w:fill="FFFFFF"/>
        <w:spacing w:after="0" w:line="480" w:lineRule="auto"/>
        <w:ind w:firstLine="720"/>
        <w:rPr>
          <w:rFonts w:ascii="Times New Roman" w:eastAsia="Times New Roman" w:hAnsi="Times New Roman" w:cs="Times New Roman"/>
          <w:sz w:val="24"/>
          <w:szCs w:val="24"/>
        </w:rPr>
      </w:pPr>
      <w:r w:rsidRPr="00C466AA">
        <w:rPr>
          <w:rFonts w:ascii="Times New Roman" w:eastAsia="Times New Roman" w:hAnsi="Times New Roman" w:cs="Times New Roman"/>
          <w:sz w:val="24"/>
          <w:szCs w:val="24"/>
        </w:rPr>
        <w:t>De manera similar, la Corte Constitucional no enfatiza la capacidad de toma de decisiones de los menores de 14 años, sino que resalta la importancia de que la fiscalía y los jueces revisen cuidadosamente cada caso individualmente, ya que las circunstancias en cada uno pueden variar. Aquí se reconocen plenamente los derechos de la víctima, su afectación psicológica y se reconoce la posición y el papel desempeñado por la víctima en el proceso penal, adoptándose también un enfoque estricto y aún más riguroso.</w:t>
      </w:r>
    </w:p>
    <w:p w14:paraId="01524CAE" w14:textId="77777777" w:rsidR="00C466AA" w:rsidRDefault="00C466AA" w:rsidP="00B939F3">
      <w:pPr>
        <w:shd w:val="clear" w:color="auto" w:fill="FFFFFF"/>
        <w:spacing w:after="0" w:line="480" w:lineRule="auto"/>
        <w:rPr>
          <w:rFonts w:ascii="Times New Roman" w:eastAsia="Times New Roman" w:hAnsi="Times New Roman" w:cs="Times New Roman"/>
          <w:sz w:val="24"/>
          <w:szCs w:val="24"/>
        </w:rPr>
      </w:pPr>
    </w:p>
    <w:p w14:paraId="6AF66B87" w14:textId="211F1474" w:rsidR="004B11A2" w:rsidRDefault="004B11A2" w:rsidP="00B939F3">
      <w:pPr>
        <w:spacing w:line="480" w:lineRule="auto"/>
        <w:rPr>
          <w:rFonts w:ascii="Times New Roman" w:eastAsia="Times New Roman" w:hAnsi="Times New Roman" w:cs="Times New Roman"/>
          <w:b/>
          <w:color w:val="000000"/>
          <w:sz w:val="28"/>
          <w:szCs w:val="28"/>
          <w:lang w:val="es-MX" w:eastAsia="es-MX"/>
        </w:rPr>
      </w:pPr>
    </w:p>
    <w:p w14:paraId="723F4CC1" w14:textId="77777777" w:rsidR="00310377" w:rsidRDefault="00310377" w:rsidP="00B939F3">
      <w:pPr>
        <w:spacing w:line="480" w:lineRule="auto"/>
        <w:rPr>
          <w:rFonts w:ascii="Times New Roman" w:eastAsia="Times New Roman" w:hAnsi="Times New Roman" w:cs="Times New Roman"/>
          <w:b/>
          <w:color w:val="000000"/>
          <w:sz w:val="28"/>
          <w:szCs w:val="28"/>
          <w:lang w:val="es-MX" w:eastAsia="es-MX"/>
        </w:rPr>
      </w:pPr>
    </w:p>
    <w:p w14:paraId="55135E35" w14:textId="77777777" w:rsidR="00310377" w:rsidRDefault="00310377" w:rsidP="00B939F3">
      <w:pPr>
        <w:spacing w:line="480" w:lineRule="auto"/>
        <w:rPr>
          <w:rFonts w:ascii="Times New Roman" w:eastAsia="Times New Roman" w:hAnsi="Times New Roman" w:cs="Times New Roman"/>
          <w:b/>
          <w:color w:val="000000"/>
          <w:sz w:val="28"/>
          <w:szCs w:val="28"/>
          <w:lang w:val="es-MX" w:eastAsia="es-MX"/>
        </w:rPr>
      </w:pPr>
    </w:p>
    <w:p w14:paraId="428620EA" w14:textId="77777777" w:rsidR="00310377" w:rsidRDefault="00310377" w:rsidP="00B939F3">
      <w:pPr>
        <w:spacing w:line="480" w:lineRule="auto"/>
        <w:rPr>
          <w:rFonts w:ascii="Times New Roman" w:eastAsia="Times New Roman" w:hAnsi="Times New Roman" w:cs="Times New Roman"/>
          <w:b/>
          <w:color w:val="000000"/>
          <w:sz w:val="28"/>
          <w:szCs w:val="28"/>
          <w:lang w:val="es-MX" w:eastAsia="es-MX"/>
        </w:rPr>
      </w:pPr>
    </w:p>
    <w:p w14:paraId="3A37AD62" w14:textId="77777777" w:rsidR="00310377" w:rsidRDefault="00310377" w:rsidP="00B939F3">
      <w:pPr>
        <w:spacing w:line="480" w:lineRule="auto"/>
        <w:rPr>
          <w:rFonts w:ascii="Times New Roman" w:eastAsia="Times New Roman" w:hAnsi="Times New Roman" w:cs="Times New Roman"/>
          <w:b/>
          <w:color w:val="000000"/>
          <w:sz w:val="28"/>
          <w:szCs w:val="28"/>
          <w:lang w:val="es-MX" w:eastAsia="es-MX"/>
        </w:rPr>
      </w:pPr>
    </w:p>
    <w:p w14:paraId="6C746B46" w14:textId="77777777" w:rsidR="00310377" w:rsidRDefault="00310377" w:rsidP="00B939F3">
      <w:pPr>
        <w:spacing w:line="480" w:lineRule="auto"/>
        <w:rPr>
          <w:rFonts w:ascii="Times New Roman" w:eastAsia="Times New Roman" w:hAnsi="Times New Roman" w:cs="Times New Roman"/>
          <w:b/>
          <w:color w:val="000000"/>
          <w:sz w:val="28"/>
          <w:szCs w:val="28"/>
          <w:lang w:val="es-MX" w:eastAsia="es-MX"/>
        </w:rPr>
      </w:pPr>
    </w:p>
    <w:p w14:paraId="5D2155ED" w14:textId="77777777" w:rsidR="00310377" w:rsidRDefault="00310377" w:rsidP="00B939F3">
      <w:pPr>
        <w:spacing w:line="480" w:lineRule="auto"/>
        <w:rPr>
          <w:rFonts w:ascii="Times New Roman" w:eastAsia="Times New Roman" w:hAnsi="Times New Roman" w:cs="Times New Roman"/>
          <w:b/>
          <w:color w:val="000000"/>
          <w:sz w:val="28"/>
          <w:szCs w:val="28"/>
          <w:lang w:val="es-MX" w:eastAsia="es-MX"/>
        </w:rPr>
      </w:pPr>
    </w:p>
    <w:p w14:paraId="1378D89F" w14:textId="77777777" w:rsidR="00D42234" w:rsidRDefault="00D42234" w:rsidP="00B939F3">
      <w:pPr>
        <w:pStyle w:val="Ttulo1"/>
        <w:spacing w:line="480" w:lineRule="auto"/>
        <w:rPr>
          <w:rFonts w:ascii="Times New Roman" w:eastAsia="Times New Roman" w:hAnsi="Times New Roman" w:cs="Times New Roman"/>
          <w:b/>
          <w:color w:val="000000"/>
          <w:sz w:val="28"/>
          <w:szCs w:val="28"/>
        </w:rPr>
      </w:pPr>
    </w:p>
    <w:p w14:paraId="03DEB64A" w14:textId="737858DF" w:rsidR="0063426E" w:rsidRDefault="006B2674" w:rsidP="00B939F3">
      <w:pPr>
        <w:pStyle w:val="Ttulo1"/>
        <w:spacing w:line="480" w:lineRule="auto"/>
        <w:rPr>
          <w:rFonts w:ascii="Times New Roman" w:eastAsia="Times New Roman" w:hAnsi="Times New Roman" w:cs="Times New Roman"/>
          <w:b/>
          <w:color w:val="000000"/>
          <w:sz w:val="28"/>
          <w:szCs w:val="28"/>
        </w:rPr>
      </w:pPr>
      <w:bookmarkStart w:id="28" w:name="_Toc134376650"/>
      <w:r>
        <w:rPr>
          <w:rFonts w:ascii="Times New Roman" w:eastAsia="Times New Roman" w:hAnsi="Times New Roman" w:cs="Times New Roman"/>
          <w:b/>
          <w:color w:val="000000"/>
          <w:sz w:val="28"/>
          <w:szCs w:val="28"/>
        </w:rPr>
        <w:t xml:space="preserve">CAPÍTULO </w:t>
      </w:r>
      <w:r w:rsidR="009B5CAC">
        <w:rPr>
          <w:rFonts w:ascii="Times New Roman" w:eastAsia="Times New Roman" w:hAnsi="Times New Roman" w:cs="Times New Roman"/>
          <w:b/>
          <w:color w:val="000000"/>
          <w:sz w:val="28"/>
          <w:szCs w:val="28"/>
        </w:rPr>
        <w:t>III</w:t>
      </w:r>
      <w:bookmarkEnd w:id="28"/>
    </w:p>
    <w:p w14:paraId="30CAB6D5" w14:textId="662B31A7" w:rsidR="00A45001" w:rsidRDefault="00A45001" w:rsidP="00B939F3">
      <w:pPr>
        <w:pStyle w:val="Ttulo1"/>
        <w:spacing w:line="480" w:lineRule="auto"/>
        <w:rPr>
          <w:rFonts w:ascii="Times New Roman" w:hAnsi="Times New Roman" w:cs="Times New Roman"/>
          <w:b/>
          <w:bCs/>
          <w:color w:val="auto"/>
          <w:sz w:val="28"/>
          <w:szCs w:val="28"/>
        </w:rPr>
      </w:pPr>
      <w:bookmarkStart w:id="29" w:name="_Toc134376651"/>
      <w:r w:rsidRPr="00A45001">
        <w:rPr>
          <w:rFonts w:ascii="Times New Roman" w:hAnsi="Times New Roman" w:cs="Times New Roman"/>
          <w:b/>
          <w:bCs/>
          <w:color w:val="auto"/>
          <w:sz w:val="28"/>
          <w:szCs w:val="28"/>
        </w:rPr>
        <w:t>MADURACI</w:t>
      </w:r>
      <w:r w:rsidR="004B11A2">
        <w:rPr>
          <w:rFonts w:ascii="Times New Roman" w:hAnsi="Times New Roman" w:cs="Times New Roman"/>
          <w:b/>
          <w:bCs/>
          <w:color w:val="auto"/>
          <w:sz w:val="28"/>
          <w:szCs w:val="28"/>
        </w:rPr>
        <w:t>Ó</w:t>
      </w:r>
      <w:r w:rsidRPr="00A45001">
        <w:rPr>
          <w:rFonts w:ascii="Times New Roman" w:hAnsi="Times New Roman" w:cs="Times New Roman"/>
          <w:b/>
          <w:bCs/>
          <w:color w:val="auto"/>
          <w:sz w:val="28"/>
          <w:szCs w:val="28"/>
        </w:rPr>
        <w:t>N SEXUAL DE LOS ADOLESCENTES</w:t>
      </w:r>
      <w:bookmarkEnd w:id="29"/>
    </w:p>
    <w:p w14:paraId="0E9EA33D" w14:textId="77777777" w:rsidR="004B11A2" w:rsidRPr="004B11A2" w:rsidRDefault="004B11A2" w:rsidP="00B939F3">
      <w:pPr>
        <w:spacing w:line="480" w:lineRule="auto"/>
        <w:rPr>
          <w:lang w:val="es-MX" w:eastAsia="es-MX"/>
        </w:rPr>
      </w:pPr>
    </w:p>
    <w:p w14:paraId="03DEB64C" w14:textId="7DC31F4F" w:rsidR="0063426E" w:rsidRPr="00A45001" w:rsidRDefault="00961B76" w:rsidP="00B939F3">
      <w:pPr>
        <w:pStyle w:val="Ttulo1"/>
        <w:spacing w:line="480" w:lineRule="auto"/>
        <w:rPr>
          <w:rFonts w:ascii="Times New Roman" w:eastAsia="Times New Roman" w:hAnsi="Times New Roman" w:cs="Times New Roman"/>
          <w:b/>
          <w:color w:val="000000"/>
          <w:sz w:val="24"/>
          <w:szCs w:val="24"/>
        </w:rPr>
      </w:pPr>
      <w:bookmarkStart w:id="30" w:name="_Toc134376652"/>
      <w:r>
        <w:rPr>
          <w:rFonts w:ascii="Times New Roman" w:eastAsia="Times New Roman" w:hAnsi="Times New Roman" w:cs="Times New Roman"/>
          <w:b/>
          <w:color w:val="000000"/>
          <w:sz w:val="24"/>
          <w:szCs w:val="24"/>
        </w:rPr>
        <w:t>3</w:t>
      </w:r>
      <w:r w:rsidR="00A45001" w:rsidRPr="00A45001">
        <w:rPr>
          <w:rFonts w:ascii="Times New Roman" w:eastAsia="Times New Roman" w:hAnsi="Times New Roman" w:cs="Times New Roman"/>
          <w:b/>
          <w:color w:val="000000"/>
          <w:sz w:val="24"/>
          <w:szCs w:val="24"/>
        </w:rPr>
        <w:t xml:space="preserve">.1. </w:t>
      </w:r>
      <w:r w:rsidR="00A45001">
        <w:rPr>
          <w:rFonts w:ascii="Times New Roman" w:eastAsia="Times New Roman" w:hAnsi="Times New Roman" w:cs="Times New Roman"/>
          <w:b/>
          <w:color w:val="000000"/>
          <w:sz w:val="24"/>
          <w:szCs w:val="24"/>
        </w:rPr>
        <w:t>M</w:t>
      </w:r>
      <w:r w:rsidR="00A45001" w:rsidRPr="00A45001">
        <w:rPr>
          <w:rFonts w:ascii="Times New Roman" w:eastAsia="Times New Roman" w:hAnsi="Times New Roman" w:cs="Times New Roman"/>
          <w:b/>
          <w:color w:val="000000"/>
          <w:sz w:val="24"/>
          <w:szCs w:val="24"/>
        </w:rPr>
        <w:t>aduración de los procesos cognitivos de la infancia tardía a la edad adulta</w:t>
      </w:r>
      <w:bookmarkEnd w:id="30"/>
    </w:p>
    <w:p w14:paraId="5BD82D83" w14:textId="77777777" w:rsidR="00A45001" w:rsidRDefault="00A45001" w:rsidP="00B939F3">
      <w:pPr>
        <w:shd w:val="clear" w:color="auto" w:fill="FFFFFF"/>
        <w:spacing w:after="0" w:line="480" w:lineRule="auto"/>
        <w:ind w:firstLine="720"/>
        <w:rPr>
          <w:lang w:val="es-MX" w:eastAsia="es-MX"/>
        </w:rPr>
      </w:pPr>
    </w:p>
    <w:p w14:paraId="5135ECF7" w14:textId="77777777" w:rsidR="005317E6"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 xml:space="preserve">El análisis del artículo sobre maduración de los procesos cognitivos de la infancia tardía a la edad adulta, de la autora Beatriz Luna y sus colaboradores Krista E. </w:t>
      </w:r>
      <w:proofErr w:type="spellStart"/>
      <w:r w:rsidRPr="00005F90">
        <w:rPr>
          <w:rFonts w:ascii="Times New Roman" w:eastAsia="Times New Roman" w:hAnsi="Times New Roman" w:cs="Times New Roman"/>
          <w:sz w:val="24"/>
          <w:szCs w:val="24"/>
        </w:rPr>
        <w:t>Garver</w:t>
      </w:r>
      <w:proofErr w:type="spellEnd"/>
      <w:r w:rsidRPr="00005F90">
        <w:rPr>
          <w:rFonts w:ascii="Times New Roman" w:eastAsia="Times New Roman" w:hAnsi="Times New Roman" w:cs="Times New Roman"/>
          <w:sz w:val="24"/>
          <w:szCs w:val="24"/>
        </w:rPr>
        <w:t xml:space="preserve">, Trinity A. Urban, Nicole A. Lazar, y John A. </w:t>
      </w:r>
      <w:proofErr w:type="spellStart"/>
      <w:r w:rsidRPr="00005F90">
        <w:rPr>
          <w:rFonts w:ascii="Times New Roman" w:eastAsia="Times New Roman" w:hAnsi="Times New Roman" w:cs="Times New Roman"/>
          <w:sz w:val="24"/>
          <w:szCs w:val="24"/>
        </w:rPr>
        <w:t>Sweeney</w:t>
      </w:r>
      <w:proofErr w:type="spellEnd"/>
      <w:r w:rsidRPr="00005F90">
        <w:rPr>
          <w:rFonts w:ascii="Times New Roman" w:eastAsia="Times New Roman" w:hAnsi="Times New Roman" w:cs="Times New Roman"/>
          <w:sz w:val="24"/>
          <w:szCs w:val="24"/>
        </w:rPr>
        <w:t xml:space="preserve"> señala</w:t>
      </w:r>
      <w:r w:rsidR="0097462E">
        <w:rPr>
          <w:rFonts w:ascii="Times New Roman" w:eastAsia="Times New Roman" w:hAnsi="Times New Roman" w:cs="Times New Roman"/>
          <w:sz w:val="24"/>
          <w:szCs w:val="24"/>
        </w:rPr>
        <w:t>n</w:t>
      </w:r>
      <w:r w:rsidRPr="00005F90">
        <w:rPr>
          <w:rFonts w:ascii="Times New Roman" w:eastAsia="Times New Roman" w:hAnsi="Times New Roman" w:cs="Times New Roman"/>
          <w:sz w:val="24"/>
          <w:szCs w:val="24"/>
        </w:rPr>
        <w:t xml:space="preserve"> </w:t>
      </w:r>
      <w:r w:rsidR="000125EE" w:rsidRPr="00005F90">
        <w:rPr>
          <w:rFonts w:ascii="Times New Roman" w:eastAsia="Times New Roman" w:hAnsi="Times New Roman" w:cs="Times New Roman"/>
          <w:sz w:val="24"/>
          <w:szCs w:val="24"/>
        </w:rPr>
        <w:t>que,</w:t>
      </w:r>
      <w:r w:rsidRPr="00005F90">
        <w:rPr>
          <w:rFonts w:ascii="Times New Roman" w:eastAsia="Times New Roman" w:hAnsi="Times New Roman" w:cs="Times New Roman"/>
          <w:sz w:val="24"/>
          <w:szCs w:val="24"/>
        </w:rPr>
        <w:t xml:space="preserve"> al evaluar los cambios relacionados con la edad en la velocidad de procesamiento, la supresión voluntaria de respuestas y la memoria de tr</w:t>
      </w:r>
      <w:r w:rsidR="00CA799C">
        <w:rPr>
          <w:rFonts w:ascii="Times New Roman" w:eastAsia="Times New Roman" w:hAnsi="Times New Roman" w:cs="Times New Roman"/>
          <w:sz w:val="24"/>
          <w:szCs w:val="24"/>
        </w:rPr>
        <w:t>abajo, se detecta</w:t>
      </w:r>
      <w:r w:rsidRPr="00005F90">
        <w:rPr>
          <w:rFonts w:ascii="Times New Roman" w:eastAsia="Times New Roman" w:hAnsi="Times New Roman" w:cs="Times New Roman"/>
          <w:sz w:val="24"/>
          <w:szCs w:val="24"/>
        </w:rPr>
        <w:t xml:space="preserve"> el cambio de un control cognitivo inmaduro de la conducta. Los resultados muestran que la regulación voluntaria/cognitiva del comportamiento aumenta en el transcurso de la adolescencia. Existía una relación escasa</w:t>
      </w:r>
      <w:r w:rsidR="00CA799C">
        <w:rPr>
          <w:rFonts w:ascii="Times New Roman" w:eastAsia="Times New Roman" w:hAnsi="Times New Roman" w:cs="Times New Roman"/>
          <w:sz w:val="24"/>
          <w:szCs w:val="24"/>
        </w:rPr>
        <w:t>,</w:t>
      </w:r>
      <w:r w:rsidRPr="00005F90">
        <w:rPr>
          <w:rFonts w:ascii="Times New Roman" w:eastAsia="Times New Roman" w:hAnsi="Times New Roman" w:cs="Times New Roman"/>
          <w:sz w:val="24"/>
          <w:szCs w:val="24"/>
        </w:rPr>
        <w:t xml:space="preserve"> pero considerable entre estos procesos cognitivos a pesar de que evolucionaban en corrientes mayoritariamente independientes.</w:t>
      </w:r>
    </w:p>
    <w:p w14:paraId="13272606" w14:textId="77777777" w:rsidR="00997C07" w:rsidRDefault="00997C07" w:rsidP="00B939F3">
      <w:pPr>
        <w:shd w:val="clear" w:color="auto" w:fill="FFFFFF"/>
        <w:spacing w:after="0" w:line="480" w:lineRule="auto"/>
        <w:ind w:firstLine="720"/>
        <w:rPr>
          <w:rFonts w:ascii="Times New Roman" w:eastAsia="Times New Roman" w:hAnsi="Times New Roman" w:cs="Times New Roman"/>
          <w:sz w:val="24"/>
          <w:szCs w:val="24"/>
        </w:rPr>
      </w:pPr>
    </w:p>
    <w:p w14:paraId="647A4654" w14:textId="0BE4ED97" w:rsidR="00005F90" w:rsidRPr="00005F90" w:rsidRDefault="005317E6" w:rsidP="00B939F3">
      <w:pPr>
        <w:shd w:val="clear" w:color="auto" w:fill="FFFFFF"/>
        <w:spacing w:after="0" w:line="480" w:lineRule="auto"/>
        <w:ind w:firstLine="720"/>
        <w:rPr>
          <w:rFonts w:ascii="Times New Roman" w:eastAsia="Times New Roman" w:hAnsi="Times New Roman" w:cs="Times New Roman"/>
          <w:sz w:val="24"/>
          <w:szCs w:val="24"/>
        </w:rPr>
      </w:pPr>
      <w:r w:rsidRPr="005317E6">
        <w:t xml:space="preserve"> </w:t>
      </w:r>
      <w:r w:rsidRPr="005317E6">
        <w:rPr>
          <w:rFonts w:ascii="Times New Roman" w:eastAsia="Times New Roman" w:hAnsi="Times New Roman" w:cs="Times New Roman"/>
          <w:sz w:val="24"/>
          <w:szCs w:val="24"/>
        </w:rPr>
        <w:t>La maduración de los procesos cognitivos de la infancia tardía a la edad adulta se refiere al desarrollo y cambio de las habilidades cognitivas a lo largo de la vida. Estos procesos cognitivos incluyen la memoria de trabajo, la atención, la velocidad de procesamiento y el control inhibitorio, entre otros.</w:t>
      </w:r>
      <w:r>
        <w:rPr>
          <w:rFonts w:ascii="Times New Roman" w:eastAsia="Times New Roman" w:hAnsi="Times New Roman" w:cs="Times New Roman"/>
          <w:sz w:val="24"/>
          <w:szCs w:val="24"/>
        </w:rPr>
        <w:t xml:space="preserve"> </w:t>
      </w:r>
      <w:r w:rsidRPr="005317E6">
        <w:rPr>
          <w:rFonts w:ascii="Times New Roman" w:eastAsia="Times New Roman" w:hAnsi="Times New Roman" w:cs="Times New Roman"/>
          <w:sz w:val="24"/>
          <w:szCs w:val="24"/>
        </w:rPr>
        <w:t xml:space="preserve">En general, las habilidades cognitivas mejoran a medida que los individuos crecen y se desarrollan. La infancia tardía y la </w:t>
      </w:r>
      <w:r w:rsidRPr="005317E6">
        <w:rPr>
          <w:rFonts w:ascii="Times New Roman" w:eastAsia="Times New Roman" w:hAnsi="Times New Roman" w:cs="Times New Roman"/>
          <w:sz w:val="24"/>
          <w:szCs w:val="24"/>
        </w:rPr>
        <w:lastRenderedPageBreak/>
        <w:t>adolescencia son períodos críticos en los que se observan mejoras significativas en el rendimiento cognitivo</w:t>
      </w:r>
      <w:r>
        <w:rPr>
          <w:rFonts w:ascii="Times New Roman" w:eastAsia="Times New Roman" w:hAnsi="Times New Roman" w:cs="Times New Roman"/>
          <w:sz w:val="24"/>
          <w:szCs w:val="24"/>
        </w:rPr>
        <w:t>.</w:t>
      </w:r>
    </w:p>
    <w:p w14:paraId="41E8F01D" w14:textId="77777777" w:rsidR="00005F90" w:rsidRPr="00005F90" w:rsidRDefault="00005F90" w:rsidP="00B939F3">
      <w:pPr>
        <w:shd w:val="clear" w:color="auto" w:fill="FFFFFF"/>
        <w:spacing w:after="0" w:line="480" w:lineRule="auto"/>
        <w:rPr>
          <w:rFonts w:ascii="Times New Roman" w:eastAsia="Times New Roman" w:hAnsi="Times New Roman" w:cs="Times New Roman"/>
          <w:sz w:val="24"/>
          <w:szCs w:val="24"/>
        </w:rPr>
      </w:pPr>
    </w:p>
    <w:p w14:paraId="20505C15" w14:textId="6428C0E3" w:rsidR="00005F90" w:rsidRPr="00005F90"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Los estudios de regresión revelaron que una función de curva inversa capturaba con mayor precisión el cambio evolutivo en el rendimiento en pruebas oculomotoras que las funciones lineales, exponenciale</w:t>
      </w:r>
      <w:r w:rsidR="00CA799C">
        <w:rPr>
          <w:rFonts w:ascii="Times New Roman" w:eastAsia="Times New Roman" w:hAnsi="Times New Roman" w:cs="Times New Roman"/>
          <w:sz w:val="24"/>
          <w:szCs w:val="24"/>
        </w:rPr>
        <w:t>s, logarítmicas o cuadráticas. En el ensayo se descubrió</w:t>
      </w:r>
      <w:r w:rsidRPr="00005F90">
        <w:rPr>
          <w:rFonts w:ascii="Times New Roman" w:eastAsia="Times New Roman" w:hAnsi="Times New Roman" w:cs="Times New Roman"/>
          <w:sz w:val="24"/>
          <w:szCs w:val="24"/>
        </w:rPr>
        <w:t xml:space="preserve"> que un ajuste </w:t>
      </w:r>
      <w:r w:rsidRPr="00CA799C">
        <w:rPr>
          <w:rFonts w:ascii="Times New Roman" w:eastAsia="Times New Roman" w:hAnsi="Times New Roman" w:cs="Times New Roman"/>
          <w:sz w:val="24"/>
          <w:szCs w:val="24"/>
        </w:rPr>
        <w:t>exponencial era en</w:t>
      </w:r>
      <w:r w:rsidRPr="00005F90">
        <w:rPr>
          <w:rFonts w:ascii="Times New Roman" w:eastAsia="Times New Roman" w:hAnsi="Times New Roman" w:cs="Times New Roman"/>
          <w:sz w:val="24"/>
          <w:szCs w:val="24"/>
        </w:rPr>
        <w:t xml:space="preserve"> gran medida paralelo a los cambios evolutivos, como los que mostraban aumentos en el tiempo de reacción; sin embargo, el ajuste inverso mostraba un mayor grado de asociación entre las variables de respuesta y la edad. Según la curva inversa, que permite cambios bruscos y asíntotas en una función, el rendimiento aumenta significativamente desde la infancia hasta la adolescencia antes de estancarse entre el final de la adolescencia y el principio de la edad adulta. La forma creciente similar a la regresión inversa se generó utilizando la curva exponencial de tres parámetros. Este perfil subraya la importancia de los elementos de maduración cerebral en el desarrollo cognitivo, ya que es similar a la función identificada para la poda sináptica y la edad en el córtex prefrontal.</w:t>
      </w:r>
    </w:p>
    <w:p w14:paraId="2417EB6F" w14:textId="77777777" w:rsidR="00005F90" w:rsidRPr="00005F90" w:rsidRDefault="00005F90" w:rsidP="00B939F3">
      <w:pPr>
        <w:shd w:val="clear" w:color="auto" w:fill="FFFFFF"/>
        <w:spacing w:after="0" w:line="480" w:lineRule="auto"/>
        <w:rPr>
          <w:rFonts w:ascii="Times New Roman" w:eastAsia="Times New Roman" w:hAnsi="Times New Roman" w:cs="Times New Roman"/>
          <w:sz w:val="24"/>
          <w:szCs w:val="24"/>
        </w:rPr>
      </w:pPr>
    </w:p>
    <w:p w14:paraId="44AFD671" w14:textId="3BE5C71C" w:rsidR="00005F90" w:rsidRPr="00005F90"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Estos hallazgos proporcionan pruebas convincentes de que, desde la adolescencia media a la tardía, aumentan la velocidad de procesamiento, la supresión voluntaria de respuestas y la memoria de trabajo espacial. Como se esperaba, la velocidad sacádica máxima se mantuvo constante en todas las tareas y en la prueba VGS, y a</w:t>
      </w:r>
      <w:r w:rsidR="00CA799C">
        <w:rPr>
          <w:rFonts w:ascii="Times New Roman" w:eastAsia="Times New Roman" w:hAnsi="Times New Roman" w:cs="Times New Roman"/>
          <w:sz w:val="24"/>
          <w:szCs w:val="24"/>
        </w:rPr>
        <w:t>mbas variables fueron fiables. Los</w:t>
      </w:r>
      <w:r w:rsidRPr="00005F90">
        <w:rPr>
          <w:rFonts w:ascii="Times New Roman" w:eastAsia="Times New Roman" w:hAnsi="Times New Roman" w:cs="Times New Roman"/>
          <w:sz w:val="24"/>
          <w:szCs w:val="24"/>
        </w:rPr>
        <w:t xml:space="preserve"> resultados </w:t>
      </w:r>
      <w:r w:rsidR="00CA799C">
        <w:rPr>
          <w:rFonts w:ascii="Times New Roman" w:eastAsia="Times New Roman" w:hAnsi="Times New Roman" w:cs="Times New Roman"/>
          <w:sz w:val="24"/>
          <w:szCs w:val="24"/>
        </w:rPr>
        <w:t xml:space="preserve">del estudio de los mencionados autores, </w:t>
      </w:r>
      <w:r w:rsidRPr="00005F90">
        <w:rPr>
          <w:rFonts w:ascii="Times New Roman" w:eastAsia="Times New Roman" w:hAnsi="Times New Roman" w:cs="Times New Roman"/>
          <w:sz w:val="24"/>
          <w:szCs w:val="24"/>
        </w:rPr>
        <w:t xml:space="preserve">demuestran que a la edad mínima de 8 años ya se han desarrollado las vías motoras necesarias para el control sacádico. </w:t>
      </w:r>
      <w:r w:rsidR="00CA799C">
        <w:rPr>
          <w:rFonts w:ascii="Times New Roman" w:eastAsia="Times New Roman" w:hAnsi="Times New Roman" w:cs="Times New Roman"/>
          <w:sz w:val="24"/>
          <w:szCs w:val="24"/>
        </w:rPr>
        <w:t xml:space="preserve">Asimismo, </w:t>
      </w:r>
      <w:r w:rsidRPr="00005F90">
        <w:rPr>
          <w:rFonts w:ascii="Times New Roman" w:eastAsia="Times New Roman" w:hAnsi="Times New Roman" w:cs="Times New Roman"/>
          <w:sz w:val="24"/>
          <w:szCs w:val="24"/>
        </w:rPr>
        <w:t xml:space="preserve">muestran que partes críticas de la arquitectura cortical comienzan a tomar forma </w:t>
      </w:r>
      <w:r w:rsidRPr="00005F90">
        <w:rPr>
          <w:rFonts w:ascii="Times New Roman" w:eastAsia="Times New Roman" w:hAnsi="Times New Roman" w:cs="Times New Roman"/>
          <w:sz w:val="24"/>
          <w:szCs w:val="24"/>
        </w:rPr>
        <w:lastRenderedPageBreak/>
        <w:t xml:space="preserve">antes de que la poda sináptica y la mielinización se hayan completado, lo que es consistente con las edades más tempranas en las que se desarrolla la especialización hemisférica para el procesamiento cognitivo de la información visoespacial. Es probable que la especialización hemisférica se produzca antes de la especialización y estructura </w:t>
      </w:r>
      <w:proofErr w:type="spellStart"/>
      <w:r w:rsidRPr="00005F90">
        <w:rPr>
          <w:rFonts w:ascii="Times New Roman" w:eastAsia="Times New Roman" w:hAnsi="Times New Roman" w:cs="Times New Roman"/>
          <w:sz w:val="24"/>
          <w:szCs w:val="24"/>
        </w:rPr>
        <w:t>neocortical</w:t>
      </w:r>
      <w:proofErr w:type="spellEnd"/>
      <w:r w:rsidRPr="00005F90">
        <w:rPr>
          <w:rFonts w:ascii="Times New Roman" w:eastAsia="Times New Roman" w:hAnsi="Times New Roman" w:cs="Times New Roman"/>
          <w:sz w:val="24"/>
          <w:szCs w:val="24"/>
        </w:rPr>
        <w:t>, sentando las bases para el posterior desarrollo cerebral. La ausencia de efectos Sexo-Edad en la mayoría de los casos demuestra que el método del estudio para evaluar el desarrollo cognitivo es neutro en cuanto al sexo.</w:t>
      </w:r>
    </w:p>
    <w:p w14:paraId="28C29414" w14:textId="77777777" w:rsidR="00005F90" w:rsidRPr="00005F90" w:rsidRDefault="00005F90" w:rsidP="00B939F3">
      <w:pPr>
        <w:shd w:val="clear" w:color="auto" w:fill="FFFFFF"/>
        <w:spacing w:after="0" w:line="480" w:lineRule="auto"/>
        <w:rPr>
          <w:rFonts w:ascii="Times New Roman" w:eastAsia="Times New Roman" w:hAnsi="Times New Roman" w:cs="Times New Roman"/>
          <w:sz w:val="24"/>
          <w:szCs w:val="24"/>
        </w:rPr>
      </w:pPr>
    </w:p>
    <w:p w14:paraId="03DEB65D" w14:textId="1A8EF475" w:rsidR="0063426E"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 xml:space="preserve">Este resultado es coherente con las investigaciones que indican que, una vez controlado el tamaño relativo del cerebro, no hay muchas variaciones de sexo en la forma del cerebro. Sin embargo, </w:t>
      </w:r>
      <w:r w:rsidR="00CA799C">
        <w:rPr>
          <w:rFonts w:ascii="Times New Roman" w:eastAsia="Times New Roman" w:hAnsi="Times New Roman" w:cs="Times New Roman"/>
          <w:sz w:val="24"/>
          <w:szCs w:val="24"/>
        </w:rPr>
        <w:t xml:space="preserve">las conclusiones del ensayo </w:t>
      </w:r>
      <w:r w:rsidRPr="00005F90">
        <w:rPr>
          <w:rFonts w:ascii="Times New Roman" w:eastAsia="Times New Roman" w:hAnsi="Times New Roman" w:cs="Times New Roman"/>
          <w:sz w:val="24"/>
          <w:szCs w:val="24"/>
        </w:rPr>
        <w:t xml:space="preserve">indican que las mujeres obtuvieron mejores resultados que los hombres en las tareas VGS en términos de precisión y latencia. Aunque la precisión y la latencia en la prueba VGS indican mecanismos subyacentes al control sensoriomotor fundamental, también sugieren un mayor nivel de control cognitivo sobre el comportamiento en las tareas de </w:t>
      </w:r>
      <w:proofErr w:type="spellStart"/>
      <w:r w:rsidRPr="00005F90">
        <w:rPr>
          <w:rFonts w:ascii="Times New Roman" w:eastAsia="Times New Roman" w:hAnsi="Times New Roman" w:cs="Times New Roman"/>
          <w:sz w:val="24"/>
          <w:szCs w:val="24"/>
        </w:rPr>
        <w:t>antisacada</w:t>
      </w:r>
      <w:proofErr w:type="spellEnd"/>
      <w:r w:rsidRPr="00005F90">
        <w:rPr>
          <w:rFonts w:ascii="Times New Roman" w:eastAsia="Times New Roman" w:hAnsi="Times New Roman" w:cs="Times New Roman"/>
          <w:sz w:val="24"/>
          <w:szCs w:val="24"/>
        </w:rPr>
        <w:t xml:space="preserve"> y ODR. La incertidumbre rodea las causas de estas disparidades de género. Si se tiene en cuenta el tamaño relativo del cerebro, las mujeres tienen un núcleo caudado más grande que los hombres, lo que puede tener un impacto importante. Gracias a sus conexiones con la sustancia negra y el colículo superior, el caudado favorece el control oculomotor.</w:t>
      </w:r>
    </w:p>
    <w:p w14:paraId="0B45A4C8" w14:textId="77777777" w:rsidR="00005F90" w:rsidRDefault="00005F90" w:rsidP="00B939F3">
      <w:pPr>
        <w:shd w:val="clear" w:color="auto" w:fill="FFFFFF"/>
        <w:spacing w:after="0" w:line="480" w:lineRule="auto"/>
        <w:rPr>
          <w:rFonts w:ascii="Times New Roman" w:eastAsia="Times New Roman" w:hAnsi="Times New Roman" w:cs="Times New Roman"/>
          <w:sz w:val="24"/>
          <w:szCs w:val="24"/>
        </w:rPr>
      </w:pPr>
    </w:p>
    <w:p w14:paraId="7C97736C" w14:textId="7944E6DF" w:rsidR="00005F90" w:rsidRPr="00005F90"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 xml:space="preserve">Otro elemento que puede modificar el intervalo de edades a las que maduran los individuos es el desarrollo puberal. Las importantes alteraciones puberales que se producen durante la adolescencia se han relacionado con diferencias de sexo en el desarrollo cognitivo y </w:t>
      </w:r>
      <w:r w:rsidRPr="00005F90">
        <w:rPr>
          <w:rFonts w:ascii="Times New Roman" w:eastAsia="Times New Roman" w:hAnsi="Times New Roman" w:cs="Times New Roman"/>
          <w:sz w:val="24"/>
          <w:szCs w:val="24"/>
        </w:rPr>
        <w:lastRenderedPageBreak/>
        <w:t>la maduración cortical. Futuras investigaciones deberían evaluar la relación entre esta variable y el ritmo al que se desarrollan las capacidades cognitivas en los tipos de dominios cognitivos examinados en este estudio.</w:t>
      </w:r>
    </w:p>
    <w:p w14:paraId="3ABB4A43" w14:textId="77777777" w:rsidR="00005F90" w:rsidRPr="00005F90" w:rsidRDefault="00005F90" w:rsidP="00B939F3">
      <w:pPr>
        <w:shd w:val="clear" w:color="auto" w:fill="FFFFFF"/>
        <w:spacing w:after="0" w:line="480" w:lineRule="auto"/>
        <w:rPr>
          <w:rFonts w:ascii="Times New Roman" w:eastAsia="Times New Roman" w:hAnsi="Times New Roman" w:cs="Times New Roman"/>
          <w:sz w:val="24"/>
          <w:szCs w:val="24"/>
        </w:rPr>
      </w:pPr>
    </w:p>
    <w:p w14:paraId="7286B1E3" w14:textId="398E502D" w:rsidR="00005F90" w:rsidRPr="00005F90"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 xml:space="preserve">El </w:t>
      </w:r>
      <w:r w:rsidRPr="00CA799C">
        <w:rPr>
          <w:rFonts w:ascii="Times New Roman" w:eastAsia="Times New Roman" w:hAnsi="Times New Roman" w:cs="Times New Roman"/>
          <w:sz w:val="24"/>
          <w:szCs w:val="24"/>
        </w:rPr>
        <w:t>análisis del punto de cambio, que señala el momento en el que el rendimiento deja de aumentar, es una técnica</w:t>
      </w:r>
      <w:r w:rsidRPr="00005F90">
        <w:rPr>
          <w:rFonts w:ascii="Times New Roman" w:eastAsia="Times New Roman" w:hAnsi="Times New Roman" w:cs="Times New Roman"/>
          <w:sz w:val="24"/>
          <w:szCs w:val="24"/>
        </w:rPr>
        <w:t xml:space="preserve"> vital para averiguar la edad a la que el rendimiento alcanza su punto máximo y las variaciones entre profesiones en la edad a la que se alcanza la madurez completa. Los ensayos de punto de cambio mostraron que, a lo largo de la adolescencia, aumentan la velocidad de procesamiento, la supresión voluntaria de respuestas y la memoria de trabajo espacial. El tiempo de respuesta se utiliza a menudo para medir la velocidad de procesamiento en tareas que requieren un procesamiento cognitivo sofisticado, como las que se encuentran en neuropsicología o en la resolución de problemas. </w:t>
      </w:r>
      <w:r w:rsidR="00CA799C">
        <w:rPr>
          <w:rFonts w:ascii="Times New Roman" w:eastAsia="Times New Roman" w:hAnsi="Times New Roman" w:cs="Times New Roman"/>
          <w:sz w:val="24"/>
          <w:szCs w:val="24"/>
        </w:rPr>
        <w:t xml:space="preserve">El objetivo del ensayo </w:t>
      </w:r>
      <w:r w:rsidRPr="00005F90">
        <w:rPr>
          <w:rFonts w:ascii="Times New Roman" w:eastAsia="Times New Roman" w:hAnsi="Times New Roman" w:cs="Times New Roman"/>
          <w:sz w:val="24"/>
          <w:szCs w:val="24"/>
        </w:rPr>
        <w:t>era acelerar la velocidad a la que se procesaba la información observando el tiempo de reacción para iniciar un movimiento ocular, una act</w:t>
      </w:r>
      <w:r w:rsidR="00594A9F">
        <w:rPr>
          <w:rFonts w:ascii="Times New Roman" w:eastAsia="Times New Roman" w:hAnsi="Times New Roman" w:cs="Times New Roman"/>
          <w:sz w:val="24"/>
          <w:szCs w:val="24"/>
        </w:rPr>
        <w:t>ividad sencilla</w:t>
      </w:r>
      <w:r w:rsidR="00CA799C">
        <w:rPr>
          <w:rFonts w:ascii="Times New Roman" w:eastAsia="Times New Roman" w:hAnsi="Times New Roman" w:cs="Times New Roman"/>
          <w:sz w:val="24"/>
          <w:szCs w:val="24"/>
        </w:rPr>
        <w:t>,</w:t>
      </w:r>
      <w:r w:rsidR="00594A9F">
        <w:rPr>
          <w:rFonts w:ascii="Times New Roman" w:eastAsia="Times New Roman" w:hAnsi="Times New Roman" w:cs="Times New Roman"/>
          <w:sz w:val="24"/>
          <w:szCs w:val="24"/>
        </w:rPr>
        <w:t xml:space="preserve"> pero cognitiva.</w:t>
      </w:r>
    </w:p>
    <w:p w14:paraId="3463435B" w14:textId="77777777" w:rsidR="00005F90" w:rsidRPr="00005F90" w:rsidRDefault="00005F90" w:rsidP="00B939F3">
      <w:pPr>
        <w:shd w:val="clear" w:color="auto" w:fill="FFFFFF"/>
        <w:spacing w:after="0" w:line="480" w:lineRule="auto"/>
        <w:rPr>
          <w:rFonts w:ascii="Times New Roman" w:eastAsia="Times New Roman" w:hAnsi="Times New Roman" w:cs="Times New Roman"/>
          <w:sz w:val="24"/>
          <w:szCs w:val="24"/>
        </w:rPr>
      </w:pPr>
    </w:p>
    <w:p w14:paraId="51EC9536" w14:textId="2F9D4CC7" w:rsidR="00005F90" w:rsidRDefault="00594A9F" w:rsidP="00B939F3">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005F90" w:rsidRPr="00005F90">
        <w:rPr>
          <w:rFonts w:ascii="Times New Roman" w:eastAsia="Times New Roman" w:hAnsi="Times New Roman" w:cs="Times New Roman"/>
          <w:sz w:val="24"/>
          <w:szCs w:val="24"/>
        </w:rPr>
        <w:t>enfoque se distingue de la investigación habitual</w:t>
      </w:r>
      <w:r w:rsidR="00CA799C">
        <w:rPr>
          <w:rFonts w:ascii="Times New Roman" w:eastAsia="Times New Roman" w:hAnsi="Times New Roman" w:cs="Times New Roman"/>
          <w:sz w:val="24"/>
          <w:szCs w:val="24"/>
        </w:rPr>
        <w:t>,</w:t>
      </w:r>
      <w:r w:rsidR="00005F90" w:rsidRPr="00005F90">
        <w:rPr>
          <w:rFonts w:ascii="Times New Roman" w:eastAsia="Times New Roman" w:hAnsi="Times New Roman" w:cs="Times New Roman"/>
          <w:sz w:val="24"/>
          <w:szCs w:val="24"/>
        </w:rPr>
        <w:t xml:space="preserve"> porque se centra en comprender la competencia subyacente de la regulación voluntaria básica de la actividad más que en la velocidad de los procesos cognitivos superiores. Los resultados muestran que la velocidad cognitiva disminuye gradualmente desde la primera infancia hasta la adolescencia media, incluso en tareas que son externas. Esta edad de maduración coincide con los resultados de investigaciones anteriores sobre el desarrollo del tiempo de reacción oculomotor y fundamental de la mano. </w:t>
      </w:r>
      <w:r w:rsidR="00CA799C">
        <w:rPr>
          <w:rFonts w:ascii="Times New Roman" w:eastAsia="Times New Roman" w:hAnsi="Times New Roman" w:cs="Times New Roman"/>
          <w:sz w:val="24"/>
          <w:szCs w:val="24"/>
        </w:rPr>
        <w:t xml:space="preserve">La </w:t>
      </w:r>
      <w:r w:rsidR="00005F90" w:rsidRPr="00005F90">
        <w:rPr>
          <w:rFonts w:ascii="Times New Roman" w:eastAsia="Times New Roman" w:hAnsi="Times New Roman" w:cs="Times New Roman"/>
          <w:sz w:val="24"/>
          <w:szCs w:val="24"/>
        </w:rPr>
        <w:t xml:space="preserve">investigación </w:t>
      </w:r>
      <w:r w:rsidR="00CA799C">
        <w:rPr>
          <w:rFonts w:ascii="Times New Roman" w:eastAsia="Times New Roman" w:hAnsi="Times New Roman" w:cs="Times New Roman"/>
          <w:sz w:val="24"/>
          <w:szCs w:val="24"/>
        </w:rPr>
        <w:t xml:space="preserve">de la psicóloga Beatriz Luna, </w:t>
      </w:r>
      <w:r w:rsidR="00005F90" w:rsidRPr="00005F90">
        <w:rPr>
          <w:rFonts w:ascii="Times New Roman" w:eastAsia="Times New Roman" w:hAnsi="Times New Roman" w:cs="Times New Roman"/>
          <w:sz w:val="24"/>
          <w:szCs w:val="24"/>
        </w:rPr>
        <w:t xml:space="preserve">reveló que el retraso </w:t>
      </w:r>
      <w:r w:rsidR="00005F90" w:rsidRPr="00005F90">
        <w:rPr>
          <w:rFonts w:ascii="Times New Roman" w:eastAsia="Times New Roman" w:hAnsi="Times New Roman" w:cs="Times New Roman"/>
          <w:sz w:val="24"/>
          <w:szCs w:val="24"/>
        </w:rPr>
        <w:lastRenderedPageBreak/>
        <w:t>para empezar a responder a un elemento visual surge inicialmente a los 15 años, independienteme</w:t>
      </w:r>
      <w:r>
        <w:rPr>
          <w:rFonts w:ascii="Times New Roman" w:eastAsia="Times New Roman" w:hAnsi="Times New Roman" w:cs="Times New Roman"/>
          <w:sz w:val="24"/>
          <w:szCs w:val="24"/>
        </w:rPr>
        <w:t>nte de las demandas cognitivas.</w:t>
      </w:r>
    </w:p>
    <w:p w14:paraId="19D14B17" w14:textId="77777777" w:rsidR="00594A9F" w:rsidRPr="00005F90" w:rsidRDefault="00594A9F" w:rsidP="00B939F3">
      <w:pPr>
        <w:shd w:val="clear" w:color="auto" w:fill="FFFFFF"/>
        <w:spacing w:after="0" w:line="480" w:lineRule="auto"/>
        <w:rPr>
          <w:rFonts w:ascii="Times New Roman" w:eastAsia="Times New Roman" w:hAnsi="Times New Roman" w:cs="Times New Roman"/>
          <w:sz w:val="24"/>
          <w:szCs w:val="24"/>
        </w:rPr>
      </w:pPr>
    </w:p>
    <w:p w14:paraId="3D6DF154" w14:textId="2E9E300F" w:rsidR="00D35301"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La maduración de la latencia para iniciar un movimiento ocular hacia un objetivo visual reveló una tendencia de desarrollo, similar a las tareas de anti</w:t>
      </w:r>
      <w:r w:rsidR="002904E2">
        <w:rPr>
          <w:rFonts w:ascii="Times New Roman" w:eastAsia="Times New Roman" w:hAnsi="Times New Roman" w:cs="Times New Roman"/>
          <w:sz w:val="24"/>
          <w:szCs w:val="24"/>
        </w:rPr>
        <w:t xml:space="preserve"> </w:t>
      </w:r>
      <w:r w:rsidRPr="00005F90">
        <w:rPr>
          <w:rFonts w:ascii="Times New Roman" w:eastAsia="Times New Roman" w:hAnsi="Times New Roman" w:cs="Times New Roman"/>
          <w:sz w:val="24"/>
          <w:szCs w:val="24"/>
        </w:rPr>
        <w:t>sacada y ODR, en la que los participantes generan un movimiento ocular motivado cognitivamente hacia una ubicación que se computa sin un objetivo en la ubicación a la que la sacada desplaza la mirada. Estos resultados apoyan la hipótesis de que los cambios en el procesamiento de la información con el envejecimiento son el resultado de una mayor capacidad de procesamiento en un</w:t>
      </w:r>
      <w:r w:rsidR="00D35301">
        <w:rPr>
          <w:rFonts w:ascii="Times New Roman" w:eastAsia="Times New Roman" w:hAnsi="Times New Roman" w:cs="Times New Roman"/>
          <w:sz w:val="24"/>
          <w:szCs w:val="24"/>
        </w:rPr>
        <w:t xml:space="preserve">a serie de dominios cognitivos, </w:t>
      </w:r>
      <w:r w:rsidRPr="00005F90">
        <w:rPr>
          <w:rFonts w:ascii="Times New Roman" w:eastAsia="Times New Roman" w:hAnsi="Times New Roman" w:cs="Times New Roman"/>
          <w:sz w:val="24"/>
          <w:szCs w:val="24"/>
        </w:rPr>
        <w:t xml:space="preserve">una respuesta que se reprime intencionadamente. </w:t>
      </w:r>
    </w:p>
    <w:p w14:paraId="4EC4573C" w14:textId="77777777" w:rsidR="00594A9F" w:rsidRDefault="00594A9F" w:rsidP="00B939F3">
      <w:pPr>
        <w:shd w:val="clear" w:color="auto" w:fill="FFFFFF"/>
        <w:spacing w:after="0" w:line="480" w:lineRule="auto"/>
        <w:rPr>
          <w:rFonts w:ascii="Times New Roman" w:eastAsia="Times New Roman" w:hAnsi="Times New Roman" w:cs="Times New Roman"/>
          <w:sz w:val="24"/>
          <w:szCs w:val="24"/>
        </w:rPr>
      </w:pPr>
    </w:p>
    <w:p w14:paraId="09CF3173" w14:textId="5EED9F2A" w:rsidR="00005F90" w:rsidRDefault="00005F90" w:rsidP="00B939F3">
      <w:pPr>
        <w:shd w:val="clear" w:color="auto" w:fill="FFFFFF"/>
        <w:spacing w:after="0" w:line="480" w:lineRule="auto"/>
        <w:ind w:firstLine="720"/>
        <w:rPr>
          <w:rFonts w:ascii="Times New Roman" w:eastAsia="Times New Roman" w:hAnsi="Times New Roman" w:cs="Times New Roman"/>
          <w:sz w:val="24"/>
          <w:szCs w:val="24"/>
        </w:rPr>
      </w:pPr>
      <w:r w:rsidRPr="00005F90">
        <w:rPr>
          <w:rFonts w:ascii="Times New Roman" w:eastAsia="Times New Roman" w:hAnsi="Times New Roman" w:cs="Times New Roman"/>
          <w:sz w:val="24"/>
          <w:szCs w:val="24"/>
        </w:rPr>
        <w:t>Los niveles maduros de supresión de la respuesta comienzan a desarrollarse a los 14 años, según los experimentos de punto de cambio, lo que concuerda con los resultados de estudios previos sobre el desarrollo de las anti</w:t>
      </w:r>
      <w:r w:rsidR="00C2391D">
        <w:rPr>
          <w:rFonts w:ascii="Times New Roman" w:eastAsia="Times New Roman" w:hAnsi="Times New Roman" w:cs="Times New Roman"/>
          <w:sz w:val="24"/>
          <w:szCs w:val="24"/>
        </w:rPr>
        <w:t xml:space="preserve"> </w:t>
      </w:r>
      <w:r w:rsidRPr="00005F90">
        <w:rPr>
          <w:rFonts w:ascii="Times New Roman" w:eastAsia="Times New Roman" w:hAnsi="Times New Roman" w:cs="Times New Roman"/>
          <w:sz w:val="24"/>
          <w:szCs w:val="24"/>
        </w:rPr>
        <w:t>sacadas. Tanto en las tareas de anti</w:t>
      </w:r>
      <w:r w:rsidR="00C2391D">
        <w:rPr>
          <w:rFonts w:ascii="Times New Roman" w:eastAsia="Times New Roman" w:hAnsi="Times New Roman" w:cs="Times New Roman"/>
          <w:sz w:val="24"/>
          <w:szCs w:val="24"/>
        </w:rPr>
        <w:t xml:space="preserve"> </w:t>
      </w:r>
      <w:r w:rsidRPr="00005F90">
        <w:rPr>
          <w:rFonts w:ascii="Times New Roman" w:eastAsia="Times New Roman" w:hAnsi="Times New Roman" w:cs="Times New Roman"/>
          <w:sz w:val="24"/>
          <w:szCs w:val="24"/>
        </w:rPr>
        <w:t>sacadas como en las de ODR, la incidencia de errores de supresión de respuesta se duplicó desde la infancia hasta la madurez.</w:t>
      </w:r>
    </w:p>
    <w:p w14:paraId="15AFFBA0" w14:textId="77777777" w:rsidR="00E35409" w:rsidRDefault="00E35409" w:rsidP="00B939F3">
      <w:pPr>
        <w:shd w:val="clear" w:color="auto" w:fill="FFFFFF"/>
        <w:spacing w:after="0" w:line="480" w:lineRule="auto"/>
        <w:rPr>
          <w:rFonts w:ascii="Times New Roman" w:eastAsia="Times New Roman" w:hAnsi="Times New Roman" w:cs="Times New Roman"/>
          <w:sz w:val="24"/>
          <w:szCs w:val="24"/>
        </w:rPr>
      </w:pPr>
    </w:p>
    <w:p w14:paraId="2326DBE2" w14:textId="5BE5FBA7" w:rsidR="00E35409" w:rsidRDefault="00E35409" w:rsidP="00B939F3">
      <w:pPr>
        <w:shd w:val="clear" w:color="auto" w:fill="FFFFFF"/>
        <w:spacing w:after="0" w:line="480" w:lineRule="auto"/>
        <w:ind w:firstLine="720"/>
        <w:rPr>
          <w:rFonts w:ascii="Times New Roman" w:eastAsia="Times New Roman" w:hAnsi="Times New Roman" w:cs="Times New Roman"/>
          <w:sz w:val="24"/>
          <w:szCs w:val="24"/>
        </w:rPr>
      </w:pPr>
      <w:r w:rsidRPr="00E35409">
        <w:rPr>
          <w:rFonts w:ascii="Times New Roman" w:eastAsia="Times New Roman" w:hAnsi="Times New Roman" w:cs="Times New Roman"/>
          <w:sz w:val="24"/>
          <w:szCs w:val="24"/>
        </w:rPr>
        <w:t xml:space="preserve">Debido a que midió la capacidad de codificar y mantener información en la memoria de trabajo sin procesamiento concurrente o manipulación interna de la información recordada, la tarea ODR utilizada en este estudio se destacó de muchas otras que prueban los efectos de la carga de procesamiento y la resistencia a la interferencia y enfatizan la manipulación sobre el mantenimiento. Según nuestra investigación, el desarrollo de la memoria de trabajo está </w:t>
      </w:r>
      <w:r w:rsidRPr="00E35409">
        <w:rPr>
          <w:rFonts w:ascii="Times New Roman" w:eastAsia="Times New Roman" w:hAnsi="Times New Roman" w:cs="Times New Roman"/>
          <w:sz w:val="24"/>
          <w:szCs w:val="24"/>
        </w:rPr>
        <w:lastRenderedPageBreak/>
        <w:t>muy influido por un aumento progresivo de la capacidad básica de retener información para el fin previsto.</w:t>
      </w:r>
    </w:p>
    <w:p w14:paraId="78071C5C" w14:textId="77777777" w:rsidR="00594A9F" w:rsidRPr="00E35409" w:rsidRDefault="00594A9F" w:rsidP="00B939F3">
      <w:pPr>
        <w:shd w:val="clear" w:color="auto" w:fill="FFFFFF"/>
        <w:spacing w:after="0" w:line="480" w:lineRule="auto"/>
        <w:ind w:firstLine="720"/>
        <w:rPr>
          <w:rFonts w:ascii="Times New Roman" w:eastAsia="Times New Roman" w:hAnsi="Times New Roman" w:cs="Times New Roman"/>
          <w:sz w:val="24"/>
          <w:szCs w:val="24"/>
        </w:rPr>
      </w:pPr>
    </w:p>
    <w:p w14:paraId="10207B2A" w14:textId="43D7EC42" w:rsidR="00E35409" w:rsidRDefault="00E35409" w:rsidP="00B939F3">
      <w:pPr>
        <w:shd w:val="clear" w:color="auto" w:fill="FFFFFF"/>
        <w:spacing w:after="0" w:line="480" w:lineRule="auto"/>
        <w:ind w:firstLine="720"/>
        <w:rPr>
          <w:rFonts w:ascii="Times New Roman" w:eastAsia="Times New Roman" w:hAnsi="Times New Roman" w:cs="Times New Roman"/>
          <w:sz w:val="24"/>
          <w:szCs w:val="24"/>
        </w:rPr>
      </w:pPr>
      <w:r w:rsidRPr="00E35409">
        <w:rPr>
          <w:rFonts w:ascii="Times New Roman" w:eastAsia="Times New Roman" w:hAnsi="Times New Roman" w:cs="Times New Roman"/>
          <w:sz w:val="24"/>
          <w:szCs w:val="24"/>
        </w:rPr>
        <w:t>Cabe destacar que la ausencia de un descenso sustancial en el rendimiento con retrasos crecientes en la memoria de trabajo sugiere que los efectos del desarrollo en la memoria de trabajo de los que se informa en la presente investigación no se corresponden con una mayor capacidad para almacenar conocimientos durante periodos de tiempo más largos. Es más plausible que el cambio relacionado con la edad en nuestra tarea de mantenimiento indique una mejora en la capacidad para codificar información en la memoria de trabajo, ya que se observaron mejoras comparables relacionadas con la edad en el rendimiento con duraciones de retraso tan cortas como 1 s. La capacidad de los recién nacidos de 12 meses para recordar información durante periodos de tiempo relativamente largos se ha relacionado con el cerebro prefrontal.</w:t>
      </w:r>
    </w:p>
    <w:p w14:paraId="4D8F7D1D" w14:textId="77777777" w:rsidR="00594A9F" w:rsidRPr="00E35409" w:rsidRDefault="00594A9F" w:rsidP="00B939F3">
      <w:pPr>
        <w:shd w:val="clear" w:color="auto" w:fill="FFFFFF"/>
        <w:spacing w:after="0" w:line="480" w:lineRule="auto"/>
        <w:ind w:firstLine="720"/>
        <w:rPr>
          <w:rFonts w:ascii="Times New Roman" w:eastAsia="Times New Roman" w:hAnsi="Times New Roman" w:cs="Times New Roman"/>
          <w:sz w:val="24"/>
          <w:szCs w:val="24"/>
        </w:rPr>
      </w:pPr>
    </w:p>
    <w:p w14:paraId="1B54F182" w14:textId="4921A498" w:rsidR="00E35409" w:rsidRDefault="00E35409" w:rsidP="00B939F3">
      <w:pPr>
        <w:shd w:val="clear" w:color="auto" w:fill="FFFFFF"/>
        <w:spacing w:after="0" w:line="480" w:lineRule="auto"/>
        <w:ind w:firstLine="720"/>
        <w:rPr>
          <w:rFonts w:ascii="Times New Roman" w:eastAsia="Times New Roman" w:hAnsi="Times New Roman" w:cs="Times New Roman"/>
          <w:sz w:val="24"/>
          <w:szCs w:val="24"/>
        </w:rPr>
      </w:pPr>
      <w:r w:rsidRPr="00E35409">
        <w:rPr>
          <w:rFonts w:ascii="Times New Roman" w:eastAsia="Times New Roman" w:hAnsi="Times New Roman" w:cs="Times New Roman"/>
          <w:sz w:val="24"/>
          <w:szCs w:val="24"/>
        </w:rPr>
        <w:t>El conjunto de estos hallazgos implica que el córtex prefrontal puede contribuir a preservar el conocimiento en una fase temprana del desarrollo, mientras que la capacidad de almacenar información de forma óptima aparece más adelante en el proceso. Según esta idea, un aspecto del crecimiento de la memoria de trabajo es el aumento de la resolución espacial de la información almacenada. Esta teoría mejoraría la resolución espacial y es coherente con los cambios estructurales del cerebro relacionados con la edad. En otras palabras, la poda sináptica permite que evolucionen los circuitos y se afinen las redes de conexiones, lo que puede permitir que la memoria de trabajo refleje información más precisa.</w:t>
      </w:r>
    </w:p>
    <w:p w14:paraId="56A3905C" w14:textId="77777777" w:rsidR="00594A9F" w:rsidRDefault="00594A9F" w:rsidP="00B939F3">
      <w:pPr>
        <w:shd w:val="clear" w:color="auto" w:fill="FFFFFF"/>
        <w:spacing w:after="0" w:line="480" w:lineRule="auto"/>
        <w:rPr>
          <w:rFonts w:ascii="Times New Roman" w:eastAsia="Times New Roman" w:hAnsi="Times New Roman" w:cs="Times New Roman"/>
          <w:sz w:val="24"/>
          <w:szCs w:val="24"/>
        </w:rPr>
      </w:pPr>
    </w:p>
    <w:p w14:paraId="5C96E260" w14:textId="39C68BEE" w:rsidR="00E55E3F" w:rsidRDefault="00594A9F" w:rsidP="00B939F3">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m</w:t>
      </w:r>
      <w:r w:rsidRPr="00594A9F">
        <w:rPr>
          <w:rFonts w:ascii="Times New Roman" w:eastAsia="Times New Roman" w:hAnsi="Times New Roman" w:cs="Times New Roman"/>
          <w:sz w:val="24"/>
          <w:szCs w:val="24"/>
        </w:rPr>
        <w:t>ejoras en la memoria de trabajo, la inhibición de reacciones y la velocidad de procesamiento que tienen lugar durante la adolescencia pueden deberse a un</w:t>
      </w:r>
      <w:r>
        <w:rPr>
          <w:rFonts w:ascii="Times New Roman" w:eastAsia="Times New Roman" w:hAnsi="Times New Roman" w:cs="Times New Roman"/>
          <w:sz w:val="24"/>
          <w:szCs w:val="24"/>
        </w:rPr>
        <w:t>a actividad cerebral coordinada; j</w:t>
      </w:r>
      <w:r w:rsidRPr="00594A9F">
        <w:rPr>
          <w:rFonts w:ascii="Times New Roman" w:eastAsia="Times New Roman" w:hAnsi="Times New Roman" w:cs="Times New Roman"/>
          <w:sz w:val="24"/>
          <w:szCs w:val="24"/>
        </w:rPr>
        <w:t xml:space="preserve">unto con el desarrollo cognitivo, el cerebro experimenta importantes procesos de poda sináptica y mielinización que mejoran la eficacia del procesamiento de la información. La poda sináptica, que consiste en cortar las conexiones neuronales débiles entre el córtex de asociación y el cuerpo estriado, puede acelerar y mejorar el procesamiento de la información. </w:t>
      </w:r>
    </w:p>
    <w:p w14:paraId="10F2FB5C" w14:textId="77777777" w:rsidR="00FB1B29" w:rsidRDefault="00FB1B29" w:rsidP="00B939F3">
      <w:pPr>
        <w:shd w:val="clear" w:color="auto" w:fill="FFFFFF"/>
        <w:spacing w:after="0" w:line="480" w:lineRule="auto"/>
        <w:ind w:firstLine="720"/>
        <w:rPr>
          <w:rFonts w:ascii="Times New Roman" w:eastAsia="Times New Roman" w:hAnsi="Times New Roman" w:cs="Times New Roman"/>
          <w:sz w:val="24"/>
          <w:szCs w:val="24"/>
        </w:rPr>
      </w:pPr>
    </w:p>
    <w:p w14:paraId="75354E31" w14:textId="237757FD" w:rsidR="00594A9F" w:rsidRPr="00594A9F" w:rsidRDefault="00594A9F" w:rsidP="00B939F3">
      <w:pPr>
        <w:shd w:val="clear" w:color="auto" w:fill="FFFFFF"/>
        <w:spacing w:after="0" w:line="480" w:lineRule="auto"/>
        <w:ind w:firstLine="720"/>
        <w:rPr>
          <w:rFonts w:ascii="Times New Roman" w:eastAsia="Times New Roman" w:hAnsi="Times New Roman" w:cs="Times New Roman"/>
          <w:sz w:val="24"/>
          <w:szCs w:val="24"/>
        </w:rPr>
      </w:pPr>
      <w:r w:rsidRPr="00594A9F">
        <w:rPr>
          <w:rFonts w:ascii="Times New Roman" w:eastAsia="Times New Roman" w:hAnsi="Times New Roman" w:cs="Times New Roman"/>
          <w:sz w:val="24"/>
          <w:szCs w:val="24"/>
        </w:rPr>
        <w:t xml:space="preserve">Las respuestas más rápidas y la mejor integración de circuitos muy dispersos son posibles gracias a una mayor mielinización, el aislamiento de las conexiones existentes que mejora la transmisión de impulsos eléctricos por todo el sistema nervioso central. Esto es vital para la modificación descendente del comportamiento. Las áreas ejecutivas prefrontales pueden influir en las regiones subcorticales y otras regiones corticales para regular el comportamiento adaptativo debido a sus conexiones ampliamente dispersas. Según esta teoría, los avances en el desarrollo son posibles cuando mejoran las capacidades de comunicación y acceso a recursos de los procesos cerebrales. Esta hipótesis se ve respaldada por nuestra investigación de </w:t>
      </w:r>
      <w:proofErr w:type="spellStart"/>
      <w:r w:rsidRPr="00594A9F">
        <w:rPr>
          <w:rFonts w:ascii="Times New Roman" w:eastAsia="Times New Roman" w:hAnsi="Times New Roman" w:cs="Times New Roman"/>
          <w:sz w:val="24"/>
          <w:szCs w:val="24"/>
        </w:rPr>
        <w:t>RMf</w:t>
      </w:r>
      <w:proofErr w:type="spellEnd"/>
      <w:r w:rsidRPr="00594A9F">
        <w:rPr>
          <w:rFonts w:ascii="Times New Roman" w:eastAsia="Times New Roman" w:hAnsi="Times New Roman" w:cs="Times New Roman"/>
          <w:sz w:val="24"/>
          <w:szCs w:val="24"/>
        </w:rPr>
        <w:t xml:space="preserve"> del desarrollo que emplea la tarea de </w:t>
      </w:r>
      <w:proofErr w:type="spellStart"/>
      <w:r w:rsidRPr="00594A9F">
        <w:rPr>
          <w:rFonts w:ascii="Times New Roman" w:eastAsia="Times New Roman" w:hAnsi="Times New Roman" w:cs="Times New Roman"/>
          <w:sz w:val="24"/>
          <w:szCs w:val="24"/>
        </w:rPr>
        <w:t>antisacada</w:t>
      </w:r>
      <w:proofErr w:type="spellEnd"/>
      <w:r w:rsidRPr="00594A9F">
        <w:rPr>
          <w:rFonts w:ascii="Times New Roman" w:eastAsia="Times New Roman" w:hAnsi="Times New Roman" w:cs="Times New Roman"/>
          <w:sz w:val="24"/>
          <w:szCs w:val="24"/>
        </w:rPr>
        <w:t>.</w:t>
      </w:r>
    </w:p>
    <w:p w14:paraId="05BE1E7B" w14:textId="77777777" w:rsidR="00594A9F" w:rsidRPr="00594A9F" w:rsidRDefault="00594A9F" w:rsidP="00B939F3">
      <w:pPr>
        <w:shd w:val="clear" w:color="auto" w:fill="FFFFFF"/>
        <w:spacing w:after="0" w:line="480" w:lineRule="auto"/>
        <w:rPr>
          <w:rFonts w:ascii="Times New Roman" w:eastAsia="Times New Roman" w:hAnsi="Times New Roman" w:cs="Times New Roman"/>
          <w:sz w:val="24"/>
          <w:szCs w:val="24"/>
        </w:rPr>
      </w:pPr>
    </w:p>
    <w:p w14:paraId="69A4156B" w14:textId="77777777" w:rsidR="00594A9F" w:rsidRPr="00594A9F" w:rsidRDefault="00594A9F" w:rsidP="00B939F3">
      <w:pPr>
        <w:shd w:val="clear" w:color="auto" w:fill="FFFFFF"/>
        <w:spacing w:after="0" w:line="480" w:lineRule="auto"/>
        <w:ind w:firstLine="720"/>
        <w:rPr>
          <w:rFonts w:ascii="Times New Roman" w:eastAsia="Times New Roman" w:hAnsi="Times New Roman" w:cs="Times New Roman"/>
          <w:sz w:val="24"/>
          <w:szCs w:val="24"/>
        </w:rPr>
      </w:pPr>
      <w:r w:rsidRPr="00594A9F">
        <w:rPr>
          <w:rFonts w:ascii="Times New Roman" w:eastAsia="Times New Roman" w:hAnsi="Times New Roman" w:cs="Times New Roman"/>
          <w:sz w:val="24"/>
          <w:szCs w:val="24"/>
        </w:rPr>
        <w:t xml:space="preserve">Los circuitos cerebrales fundamentales que rigen la producción de </w:t>
      </w:r>
      <w:proofErr w:type="spellStart"/>
      <w:r w:rsidRPr="00594A9F">
        <w:rPr>
          <w:rFonts w:ascii="Times New Roman" w:eastAsia="Times New Roman" w:hAnsi="Times New Roman" w:cs="Times New Roman"/>
          <w:sz w:val="24"/>
          <w:szCs w:val="24"/>
        </w:rPr>
        <w:t>antisacadas</w:t>
      </w:r>
      <w:proofErr w:type="spellEnd"/>
      <w:r w:rsidRPr="00594A9F">
        <w:rPr>
          <w:rFonts w:ascii="Times New Roman" w:eastAsia="Times New Roman" w:hAnsi="Times New Roman" w:cs="Times New Roman"/>
          <w:sz w:val="24"/>
          <w:szCs w:val="24"/>
        </w:rPr>
        <w:t xml:space="preserve"> precisas y los procesos cognitivos relacionados con la sincronización y el aprendizaje ya funcionaban cuando el niño o el adolescente llegaban a la edad adulta, pero la edad adulta se distinguía por una mayor actividad de áreas cerebrales remotas conocidas por apoyar estos procesos. Esto demuestra que la integración funcional de los circuitos cerebrales favorece un control </w:t>
      </w:r>
      <w:r w:rsidRPr="00594A9F">
        <w:rPr>
          <w:rFonts w:ascii="Times New Roman" w:eastAsia="Times New Roman" w:hAnsi="Times New Roman" w:cs="Times New Roman"/>
          <w:sz w:val="24"/>
          <w:szCs w:val="24"/>
        </w:rPr>
        <w:lastRenderedPageBreak/>
        <w:t>voluntario maduro del comportamiento. La fase del desarrollo en la que funcionamos a niveles adultos se define por avances en los procesos actuales mediante un uso cada vez más eficiente de los circuitos cerebrales, según una combinación de datos conductuales y de neuroimagen.</w:t>
      </w:r>
    </w:p>
    <w:p w14:paraId="03EB70B7" w14:textId="77777777" w:rsidR="00594A9F" w:rsidRPr="00594A9F" w:rsidRDefault="00594A9F" w:rsidP="00B939F3">
      <w:pPr>
        <w:shd w:val="clear" w:color="auto" w:fill="FFFFFF"/>
        <w:spacing w:after="0" w:line="480" w:lineRule="auto"/>
        <w:rPr>
          <w:rFonts w:ascii="Times New Roman" w:eastAsia="Times New Roman" w:hAnsi="Times New Roman" w:cs="Times New Roman"/>
          <w:sz w:val="24"/>
          <w:szCs w:val="24"/>
        </w:rPr>
      </w:pPr>
    </w:p>
    <w:p w14:paraId="738C5908" w14:textId="7A4FE04A" w:rsidR="00594A9F" w:rsidRDefault="00594A9F" w:rsidP="00B939F3">
      <w:pPr>
        <w:shd w:val="clear" w:color="auto" w:fill="FFFFFF"/>
        <w:spacing w:after="0" w:line="480" w:lineRule="auto"/>
        <w:ind w:firstLine="720"/>
        <w:rPr>
          <w:rFonts w:ascii="Times New Roman" w:eastAsia="Times New Roman" w:hAnsi="Times New Roman" w:cs="Times New Roman"/>
          <w:sz w:val="24"/>
          <w:szCs w:val="24"/>
        </w:rPr>
      </w:pPr>
      <w:r w:rsidRPr="00594A9F">
        <w:rPr>
          <w:rFonts w:ascii="Times New Roman" w:eastAsia="Times New Roman" w:hAnsi="Times New Roman" w:cs="Times New Roman"/>
          <w:sz w:val="24"/>
          <w:szCs w:val="24"/>
        </w:rPr>
        <w:t>Aunque existen numerosas similitudes entre los perfiles de desarrollo de las capacidades cognitivas demostradas en esta investigación y los de la maduración cerebral, es menos obvio cómo la maduración cerebral explica la trayectoria de desarrollo única de estas capacidades cognitivas. Nuestra idea es que los circuitos neuronales de cada actividad cognitiva pueden apoyar la cognición de manera diferente, dando lugar a un cambio cualitativo en la cognición, cuando la expansión cerebral permite al cerebro funcionar de manera más eficaz y armoniosa. Mientras que la inhibición de la respuesta y la memoria de trabajo pueden indicar la mayor eficacia de regiones cerebrales específicas vinculadas a mejoras locales en los circuitos cerebrales, que reflejan cambios en la organización sináptica, las mejoras en la velocidad de procesamiento pueden ser un beneficio general de la mayor eficacia de la comunicación neuronal vinculada a una mayor mielinización.</w:t>
      </w:r>
    </w:p>
    <w:p w14:paraId="14850779" w14:textId="77777777" w:rsidR="00C12390" w:rsidRDefault="00C12390" w:rsidP="00B939F3">
      <w:pPr>
        <w:shd w:val="clear" w:color="auto" w:fill="FFFFFF"/>
        <w:spacing w:after="0" w:line="480" w:lineRule="auto"/>
        <w:ind w:firstLine="720"/>
        <w:rPr>
          <w:rFonts w:ascii="Times New Roman" w:eastAsia="Times New Roman" w:hAnsi="Times New Roman" w:cs="Times New Roman"/>
          <w:sz w:val="24"/>
          <w:szCs w:val="24"/>
        </w:rPr>
      </w:pPr>
    </w:p>
    <w:p w14:paraId="0C92B384" w14:textId="3A7E96D0" w:rsidR="00C12390" w:rsidRDefault="00C12390" w:rsidP="00B939F3">
      <w:pPr>
        <w:shd w:val="clear" w:color="auto" w:fill="FFFFFF"/>
        <w:spacing w:after="0" w:line="480" w:lineRule="auto"/>
        <w:ind w:firstLine="720"/>
        <w:rPr>
          <w:rFonts w:ascii="Times New Roman" w:eastAsia="Times New Roman" w:hAnsi="Times New Roman" w:cs="Times New Roman"/>
          <w:sz w:val="24"/>
          <w:szCs w:val="24"/>
        </w:rPr>
      </w:pPr>
      <w:r w:rsidRPr="00C12390">
        <w:rPr>
          <w:rFonts w:ascii="Times New Roman" w:eastAsia="Times New Roman" w:hAnsi="Times New Roman" w:cs="Times New Roman"/>
          <w:sz w:val="24"/>
          <w:szCs w:val="24"/>
        </w:rPr>
        <w:t>A nivel cognitivo, se está produciendo un cambio fundamental; los procesos formales están dejando paso a la cognición abstracta. El adolescente es ahora libre de considerar sus propias teorías, creencias y pensamientos. Lamentablemente, el conflicto psicológico subyacente suele limitar estas capacidades. La euforia sustituye rápidamente a la apatía; son frecuentes la irritabilidad, la depresión, la perplejidad, el cansancio y los cambios de humores bruscos y a menudo incoherentes.</w:t>
      </w:r>
    </w:p>
    <w:p w14:paraId="256C79F6" w14:textId="4D8FA862" w:rsid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p>
    <w:p w14:paraId="4CBD3971"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r w:rsidRPr="005317E6">
        <w:rPr>
          <w:rFonts w:ascii="Times New Roman" w:eastAsia="Times New Roman" w:hAnsi="Times New Roman" w:cs="Times New Roman"/>
          <w:sz w:val="24"/>
          <w:szCs w:val="24"/>
        </w:rPr>
        <w:lastRenderedPageBreak/>
        <w:t>La velocidad de procesamiento, la inhibición intencionada de respuestas y la memoria de trabajo son cruciales para el control cognitivo del comportamiento. Las acciones complejas rara vez dependen únicamente de uno de estos procesos. Nuestros hallazgos señalan que, en su mayoría, estos tres procesos evolucionan de manera independiente pero simultánea. El progreso en la velocidad de procesamiento no fue afectado por el desarrollo de la memoria de trabajo ni la inhibición de respuesta, lo que sugiere que los incrementos en el procesamiento de información reflejan un proceso diferente.</w:t>
      </w:r>
    </w:p>
    <w:p w14:paraId="12519113"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p>
    <w:p w14:paraId="5E374464"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r w:rsidRPr="005317E6">
        <w:rPr>
          <w:rFonts w:ascii="Times New Roman" w:eastAsia="Times New Roman" w:hAnsi="Times New Roman" w:cs="Times New Roman"/>
          <w:sz w:val="24"/>
          <w:szCs w:val="24"/>
        </w:rPr>
        <w:t xml:space="preserve">Por otro lado, el avance en la memoria de trabajo se vio ligeramente influenciado por las mejoras tanto en la velocidad de procesamiento como en la inhibición de respuesta. Un procesamiento más veloz de la información puede permitir que la información se codifique de manera más rápida y efectiva en la memoria de trabajo, mientras que las mejoras en la inhibición de respuesta pueden reducir las demandas en la memoria de trabajo, ya que solo se procesa información pertinente. Estos resultados concuerdan con aquellos que han encontrado que la velocidad de procesamiento predice la memoria de trabajo. </w:t>
      </w:r>
    </w:p>
    <w:p w14:paraId="09479CE7"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p>
    <w:p w14:paraId="1B5B04F7"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r w:rsidRPr="005317E6">
        <w:rPr>
          <w:rFonts w:ascii="Times New Roman" w:eastAsia="Times New Roman" w:hAnsi="Times New Roman" w:cs="Times New Roman"/>
          <w:sz w:val="24"/>
          <w:szCs w:val="24"/>
        </w:rPr>
        <w:t xml:space="preserve">Además, las mejoras en el desarrollo de la habilidad para inhibir intencionadamente una respuesta predominante se vieron impulsadas por los avances en el desarrollo de la memoria de trabajo. La memoria de trabajo puede respaldar la preparación para inhibir una respuesta, lo cual se sabe que es esencial en la capacidad de ejecutar una </w:t>
      </w:r>
      <w:proofErr w:type="spellStart"/>
      <w:r w:rsidRPr="005317E6">
        <w:rPr>
          <w:rFonts w:ascii="Times New Roman" w:eastAsia="Times New Roman" w:hAnsi="Times New Roman" w:cs="Times New Roman"/>
          <w:sz w:val="24"/>
          <w:szCs w:val="24"/>
        </w:rPr>
        <w:t>antisacada</w:t>
      </w:r>
      <w:proofErr w:type="spellEnd"/>
      <w:r w:rsidRPr="005317E6">
        <w:rPr>
          <w:rFonts w:ascii="Times New Roman" w:eastAsia="Times New Roman" w:hAnsi="Times New Roman" w:cs="Times New Roman"/>
          <w:sz w:val="24"/>
          <w:szCs w:val="24"/>
        </w:rPr>
        <w:t>. La velocidad de procesamiento no influyó en el desarrollo de la inhibición voluntaria de la respuesta, respaldando las teorías que consideran el control inhibitorio del comportamiento como una capacidad independiente.</w:t>
      </w:r>
    </w:p>
    <w:p w14:paraId="0DDA304E"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p>
    <w:p w14:paraId="067BD923"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r w:rsidRPr="005317E6">
        <w:rPr>
          <w:rFonts w:ascii="Times New Roman" w:eastAsia="Times New Roman" w:hAnsi="Times New Roman" w:cs="Times New Roman"/>
          <w:sz w:val="24"/>
          <w:szCs w:val="24"/>
        </w:rPr>
        <w:t>Los resultados que muestran la interdependencia entre estos procesos fueron significativos, aunque discretos, representando solo del 2% al 3% de la variación, lo que sugiere que su desarrollo es principalmente independiente. En nuestros estudios previos sobre envejecimiento, encontramos trayectorias independientes similares en estos procesos cognitivos, lo que indica un declive mucho mayor en la inhibición voluntaria de respuestas que en la memoria de trabajo con la edad.</w:t>
      </w:r>
    </w:p>
    <w:p w14:paraId="5845BB0D" w14:textId="77777777" w:rsidR="005317E6" w:rsidRPr="005317E6" w:rsidRDefault="005317E6" w:rsidP="00B939F3">
      <w:pPr>
        <w:shd w:val="clear" w:color="auto" w:fill="FFFFFF"/>
        <w:spacing w:after="0" w:line="480" w:lineRule="auto"/>
        <w:ind w:firstLine="720"/>
        <w:rPr>
          <w:rFonts w:ascii="Times New Roman" w:eastAsia="Times New Roman" w:hAnsi="Times New Roman" w:cs="Times New Roman"/>
          <w:sz w:val="24"/>
          <w:szCs w:val="24"/>
        </w:rPr>
      </w:pPr>
    </w:p>
    <w:p w14:paraId="1B3BA586" w14:textId="0625C96D" w:rsidR="005317E6" w:rsidRPr="00C12390" w:rsidRDefault="005317E6" w:rsidP="00B939F3">
      <w:pPr>
        <w:shd w:val="clear" w:color="auto" w:fill="FFFFFF"/>
        <w:spacing w:after="0" w:line="480" w:lineRule="auto"/>
        <w:ind w:firstLine="720"/>
        <w:rPr>
          <w:rFonts w:ascii="Times New Roman" w:eastAsia="Times New Roman" w:hAnsi="Times New Roman" w:cs="Times New Roman"/>
          <w:sz w:val="24"/>
          <w:szCs w:val="24"/>
        </w:rPr>
      </w:pPr>
      <w:r w:rsidRPr="005317E6">
        <w:rPr>
          <w:rFonts w:ascii="Times New Roman" w:eastAsia="Times New Roman" w:hAnsi="Times New Roman" w:cs="Times New Roman"/>
          <w:sz w:val="24"/>
          <w:szCs w:val="24"/>
        </w:rPr>
        <w:t>Las pruebas neuropsicológicas convencionales y de resolución de problemas podrían sugerir una mayor interdependencia entre estos campos debido a los procesos interconectados que a menudo son necesarios para el rendimiento en tareas complejas. Nuestros métodos, posiblemente más selectivos en la exploración de la memoria de trabajo y los sistemas de inhibición de respuesta, pueden permitir una medición más independiente de estos procesos cognitivos, ofreciendo una valoración más precisa de su auténtica interconexión. En resumen, estos hallazgos indican que, aunque la maduración cognitiva en estos ámbitos se desarrolla en gran medida de manera independiente, cada proceso contribuye de forma discreta a la maduración en los demás campos.</w:t>
      </w:r>
    </w:p>
    <w:p w14:paraId="42684AC4" w14:textId="77777777" w:rsidR="00C12390" w:rsidRPr="00C12390" w:rsidRDefault="00C12390" w:rsidP="00B939F3">
      <w:pPr>
        <w:shd w:val="clear" w:color="auto" w:fill="FFFFFF"/>
        <w:spacing w:after="0" w:line="480" w:lineRule="auto"/>
        <w:rPr>
          <w:rFonts w:ascii="Times New Roman" w:eastAsia="Times New Roman" w:hAnsi="Times New Roman" w:cs="Times New Roman"/>
          <w:sz w:val="24"/>
          <w:szCs w:val="24"/>
        </w:rPr>
      </w:pPr>
    </w:p>
    <w:p w14:paraId="3FA53D8A" w14:textId="26CBF603" w:rsidR="00C12390" w:rsidRDefault="00C12390" w:rsidP="00B939F3">
      <w:pPr>
        <w:shd w:val="clear" w:color="auto" w:fill="FFFFFF"/>
        <w:spacing w:after="0" w:line="480" w:lineRule="auto"/>
        <w:ind w:firstLine="720"/>
        <w:rPr>
          <w:rFonts w:ascii="Times New Roman" w:eastAsia="Times New Roman" w:hAnsi="Times New Roman" w:cs="Times New Roman"/>
          <w:sz w:val="24"/>
          <w:szCs w:val="24"/>
        </w:rPr>
      </w:pPr>
      <w:r w:rsidRPr="00C12390">
        <w:rPr>
          <w:rFonts w:ascii="Times New Roman" w:eastAsia="Times New Roman" w:hAnsi="Times New Roman" w:cs="Times New Roman"/>
          <w:sz w:val="24"/>
          <w:szCs w:val="24"/>
        </w:rPr>
        <w:t xml:space="preserve">Los adolescentes tienen una vida interior compleja y caótica, que se aprecia inicialmente en su aspecto, en el desorden de sus espacios y posesiones, así como en sus rituales y rutinas. Los padres deben comprender la fugacidad de estas manifestaciones y el deseo de conexión que las acompaña. En lugar de convertirse en imposiciones rígidas que sólo provocan conflictos, las normas deben diseñarse para proporcionar al adolescente un cierto </w:t>
      </w:r>
      <w:r w:rsidRPr="00C12390">
        <w:rPr>
          <w:rFonts w:ascii="Times New Roman" w:eastAsia="Times New Roman" w:hAnsi="Times New Roman" w:cs="Times New Roman"/>
          <w:sz w:val="24"/>
          <w:szCs w:val="24"/>
        </w:rPr>
        <w:lastRenderedPageBreak/>
        <w:t>nivel de seguridad. Los momentos más cruciales de la vida suelen ser los primeros encuentros románticos, sexuales y de amistad. La transición de la sexualidad infantil a la sexualidad adulta y a una orientación sexual específica con todas sus implicaciones se produce a lo largo de la adolescencia. Sobreviene un prolongado periodo de pruebas e incertidumbre. La conexión emocional y/o sexual inicial, que con frecuencia va seguida de una ruptura o un fracaso, debe ser objeto de debate, ya que provoca un grave daño narcisista.</w:t>
      </w:r>
    </w:p>
    <w:p w14:paraId="79A987A2" w14:textId="77777777" w:rsidR="005D0695" w:rsidRDefault="005D0695" w:rsidP="00B939F3">
      <w:pPr>
        <w:shd w:val="clear" w:color="auto" w:fill="FFFFFF"/>
        <w:spacing w:after="0" w:line="480" w:lineRule="auto"/>
        <w:rPr>
          <w:rFonts w:ascii="Times New Roman" w:eastAsia="Times New Roman" w:hAnsi="Times New Roman" w:cs="Times New Roman"/>
          <w:sz w:val="24"/>
          <w:szCs w:val="24"/>
        </w:rPr>
      </w:pPr>
    </w:p>
    <w:p w14:paraId="5D326F28" w14:textId="4EE6B013" w:rsidR="00735555" w:rsidRDefault="00961B76" w:rsidP="00B939F3">
      <w:pPr>
        <w:pStyle w:val="Ttulo1"/>
        <w:spacing w:line="480" w:lineRule="auto"/>
        <w:rPr>
          <w:rFonts w:ascii="Times New Roman" w:eastAsia="Times New Roman" w:hAnsi="Times New Roman" w:cs="Times New Roman"/>
          <w:b/>
          <w:bCs/>
          <w:color w:val="000000" w:themeColor="text1"/>
          <w:sz w:val="24"/>
          <w:szCs w:val="24"/>
        </w:rPr>
      </w:pPr>
      <w:bookmarkStart w:id="31" w:name="_Toc134376653"/>
      <w:r>
        <w:rPr>
          <w:rFonts w:ascii="Times New Roman" w:eastAsia="Times New Roman" w:hAnsi="Times New Roman" w:cs="Times New Roman"/>
          <w:b/>
          <w:bCs/>
          <w:color w:val="000000" w:themeColor="text1"/>
          <w:sz w:val="24"/>
          <w:szCs w:val="24"/>
        </w:rPr>
        <w:t>3.</w:t>
      </w:r>
      <w:r w:rsidR="00833749" w:rsidRPr="00833749">
        <w:rPr>
          <w:rFonts w:ascii="Times New Roman" w:eastAsia="Times New Roman" w:hAnsi="Times New Roman" w:cs="Times New Roman"/>
          <w:b/>
          <w:bCs/>
          <w:color w:val="000000" w:themeColor="text1"/>
          <w:sz w:val="24"/>
          <w:szCs w:val="24"/>
        </w:rPr>
        <w:t>2. Perspectivas comparadas sobre las transiciones sexuales, matrimoniales y reproductivas de los adolescentes</w:t>
      </w:r>
      <w:r>
        <w:rPr>
          <w:rFonts w:ascii="Times New Roman" w:eastAsia="Times New Roman" w:hAnsi="Times New Roman" w:cs="Times New Roman"/>
          <w:b/>
          <w:bCs/>
          <w:color w:val="000000" w:themeColor="text1"/>
          <w:sz w:val="24"/>
          <w:szCs w:val="24"/>
        </w:rPr>
        <w:t xml:space="preserve"> según Ruth Dixon Mueller</w:t>
      </w:r>
      <w:bookmarkEnd w:id="31"/>
    </w:p>
    <w:p w14:paraId="7F8AC128" w14:textId="66EC7310" w:rsidR="00833749" w:rsidRDefault="00833749" w:rsidP="00B939F3">
      <w:pPr>
        <w:spacing w:line="480" w:lineRule="auto"/>
        <w:ind w:left="567"/>
        <w:rPr>
          <w:rFonts w:ascii="Times New Roman" w:hAnsi="Times New Roman" w:cs="Times New Roman"/>
          <w:sz w:val="24"/>
          <w:szCs w:val="24"/>
          <w:lang w:val="es-MX" w:eastAsia="es-MX"/>
        </w:rPr>
      </w:pPr>
    </w:p>
    <w:p w14:paraId="1807084D" w14:textId="32C19CF3" w:rsidR="003448D2" w:rsidRPr="003448D2" w:rsidRDefault="006B1D18" w:rsidP="00B939F3">
      <w:pPr>
        <w:spacing w:line="480" w:lineRule="auto"/>
        <w:ind w:left="567" w:firstLine="720"/>
        <w:rPr>
          <w:rFonts w:ascii="Times New Roman" w:hAnsi="Times New Roman" w:cs="Times New Roman"/>
          <w:sz w:val="28"/>
          <w:szCs w:val="28"/>
          <w:lang w:val="es-VE" w:eastAsia="es-MX"/>
        </w:rPr>
      </w:pPr>
      <w:r>
        <w:rPr>
          <w:rFonts w:ascii="Times New Roman" w:hAnsi="Times New Roman" w:cs="Times New Roman"/>
          <w:sz w:val="24"/>
          <w:szCs w:val="24"/>
          <w:lang w:val="en-US"/>
        </w:rPr>
        <w:t xml:space="preserve">How young is </w:t>
      </w:r>
      <w:r w:rsidR="00E1205B" w:rsidRPr="00E1205B">
        <w:rPr>
          <w:rFonts w:ascii="Times New Roman" w:hAnsi="Times New Roman" w:cs="Times New Roman"/>
          <w:sz w:val="24"/>
          <w:szCs w:val="24"/>
          <w:lang w:val="en-US"/>
        </w:rPr>
        <w:t xml:space="preserve">"too young" to participate in sexual activity, marry, and bear children? What age- and gender-specific patterns of sexual, marital, and reproductive transitions should be deemed problematic from a policy perspective in various settings, and why, considering the evolving international notions of adolescent rights and abilities, as well as the changing norms and aspirations of the adolescents themselves? What policies and actions can uphold young people's rights to sexual and reproductive health and development, while also considering the broad spectrum of circumstances in which they live? </w:t>
      </w:r>
      <w:r w:rsidR="003448D2" w:rsidRPr="003448D2">
        <w:rPr>
          <w:rFonts w:ascii="Times New Roman" w:hAnsi="Times New Roman" w:cs="Times New Roman"/>
          <w:sz w:val="24"/>
          <w:szCs w:val="24"/>
          <w:lang w:val="es-VE"/>
        </w:rPr>
        <w:t xml:space="preserve">(Dixon-Mueller, 2008). </w:t>
      </w:r>
    </w:p>
    <w:p w14:paraId="11E9F3EE" w14:textId="0AAE554C" w:rsidR="00AD6B09" w:rsidRPr="004B0884" w:rsidRDefault="00AD6B09"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¿A qué edad se considera "demasiado joven" para mantener relaciones sexuales, contraer matrimonio y tener hijos? En el marco del desarrollo de conceptos internacionales acerca de los derechos y capacidades de los adolescentes, y los cambios en las normas y aspiraciones de los propios jóvenes, ¿qué patrones de transición sexual, matrimonial y </w:t>
      </w:r>
      <w:r w:rsidRPr="004B0884">
        <w:rPr>
          <w:rFonts w:ascii="Times New Roman" w:hAnsi="Times New Roman" w:cs="Times New Roman"/>
          <w:sz w:val="24"/>
          <w:szCs w:val="24"/>
          <w:lang w:val="es-MX" w:eastAsia="es-MX"/>
        </w:rPr>
        <w:lastRenderedPageBreak/>
        <w:t>reproductiva, asociados a la edad y género, deberían ser vistos como problemáticos desde una perspectiva política en diferentes contextos y por qué? ¿De qué manera pueden las políticas y programas fomentar las normas internacionales en relación a la salud y los derechos sexuales y reproductivos de los adolescentes, mientras se mantiene una visión realista de las distintas circunstancias de sus vidas? Los indicadores demográficos que evalúan el conocimiento y comportamiento de los adolescentes en cuanto a la salud sexual y reproductiva suelen enfocarse en el grupo etario de 15 a 19 años.</w:t>
      </w:r>
    </w:p>
    <w:p w14:paraId="691E3F4F" w14:textId="77777777" w:rsidR="00700BD0" w:rsidRDefault="00700BD0"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Se eligen tres aspectos para analizar en qué medida el momento de las transiciones sexuales, matrimoniales y reproductivas en adolescentes de ambos géneros puede ser </w:t>
      </w:r>
      <w:r w:rsidRPr="00961B76">
        <w:rPr>
          <w:rFonts w:ascii="Times New Roman" w:hAnsi="Times New Roman" w:cs="Times New Roman"/>
          <w:sz w:val="24"/>
          <w:szCs w:val="24"/>
          <w:lang w:val="es-MX" w:eastAsia="es-MX"/>
        </w:rPr>
        <w:t>considerado "muy temprano" desde distintas perspectivas:</w:t>
      </w:r>
    </w:p>
    <w:p w14:paraId="6AE6503B" w14:textId="38590249" w:rsidR="007773F7" w:rsidRPr="003C3E94" w:rsidRDefault="007773F7" w:rsidP="00B939F3">
      <w:pPr>
        <w:pStyle w:val="Prrafodelista"/>
        <w:numPr>
          <w:ilvl w:val="0"/>
          <w:numId w:val="31"/>
        </w:numPr>
        <w:spacing w:line="480" w:lineRule="auto"/>
        <w:rPr>
          <w:rFonts w:ascii="Times New Roman" w:hAnsi="Times New Roman" w:cs="Times New Roman"/>
          <w:sz w:val="24"/>
          <w:szCs w:val="24"/>
          <w:lang w:val="es-MX" w:eastAsia="es-MX"/>
        </w:rPr>
      </w:pPr>
      <w:r w:rsidRPr="003C3E94">
        <w:rPr>
          <w:rFonts w:ascii="Times New Roman" w:hAnsi="Times New Roman" w:cs="Times New Roman"/>
          <w:sz w:val="24"/>
          <w:szCs w:val="24"/>
          <w:lang w:val="es-MX" w:eastAsia="es-MX"/>
        </w:rPr>
        <w:t>La aptitud corporal para la actividad sexual;</w:t>
      </w:r>
    </w:p>
    <w:p w14:paraId="530961D4" w14:textId="75DF4C39" w:rsidR="007773F7" w:rsidRPr="003C3E94" w:rsidRDefault="007773F7" w:rsidP="00B939F3">
      <w:pPr>
        <w:pStyle w:val="Prrafodelista"/>
        <w:numPr>
          <w:ilvl w:val="0"/>
          <w:numId w:val="31"/>
        </w:numPr>
        <w:spacing w:line="480" w:lineRule="auto"/>
        <w:rPr>
          <w:rFonts w:ascii="Times New Roman" w:hAnsi="Times New Roman" w:cs="Times New Roman"/>
          <w:sz w:val="24"/>
          <w:szCs w:val="24"/>
          <w:lang w:val="es-MX" w:eastAsia="es-MX"/>
        </w:rPr>
      </w:pPr>
      <w:r w:rsidRPr="003C3E94">
        <w:rPr>
          <w:rFonts w:ascii="Times New Roman" w:hAnsi="Times New Roman" w:cs="Times New Roman"/>
          <w:sz w:val="24"/>
          <w:szCs w:val="24"/>
          <w:lang w:val="es-MX" w:eastAsia="es-MX"/>
        </w:rPr>
        <w:t>La capacidad de realizar valoraciones conscientes y seguras ejemplifica una capacidad cognitiva.</w:t>
      </w:r>
    </w:p>
    <w:p w14:paraId="1E733779" w14:textId="4D0E74D3" w:rsidR="007773F7" w:rsidRPr="003C3E94" w:rsidRDefault="007773F7" w:rsidP="00B939F3">
      <w:pPr>
        <w:pStyle w:val="Prrafodelista"/>
        <w:numPr>
          <w:ilvl w:val="0"/>
          <w:numId w:val="31"/>
        </w:numPr>
        <w:spacing w:line="480" w:lineRule="auto"/>
        <w:rPr>
          <w:rFonts w:ascii="Times New Roman" w:hAnsi="Times New Roman" w:cs="Times New Roman"/>
          <w:sz w:val="24"/>
          <w:szCs w:val="24"/>
          <w:lang w:val="es-MX" w:eastAsia="es-MX"/>
        </w:rPr>
      </w:pPr>
      <w:r w:rsidRPr="003C3E94">
        <w:rPr>
          <w:rFonts w:ascii="Times New Roman" w:hAnsi="Times New Roman" w:cs="Times New Roman"/>
          <w:sz w:val="24"/>
          <w:szCs w:val="24"/>
          <w:lang w:val="es-MX" w:eastAsia="es-MX"/>
        </w:rPr>
        <w:t>Las estructuras normativas se reflejan en las concepciones institucionalizadas de lo que significa ser "suficientemente maduro" para dar consentimiento.</w:t>
      </w:r>
    </w:p>
    <w:p w14:paraId="5814B751" w14:textId="07FBFFC1" w:rsidR="00833749" w:rsidRPr="004B0884" w:rsidRDefault="00700BD0"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No se contemplan en este análisis otros factores, como los requisitos educativos y económicos para el matrimonio y la paternidad en distintos contextos, ni las representaciones culturales de las edades apropiadas para el noviazgo y matrimonio entre hombres y mujeres.</w:t>
      </w:r>
    </w:p>
    <w:p w14:paraId="63A3B140" w14:textId="77777777" w:rsidR="005A1183" w:rsidRPr="005A1183" w:rsidRDefault="005A1183" w:rsidP="00B939F3">
      <w:pPr>
        <w:pStyle w:val="Prrafodelista"/>
        <w:numPr>
          <w:ilvl w:val="0"/>
          <w:numId w:val="15"/>
        </w:numPr>
        <w:spacing w:line="480" w:lineRule="auto"/>
        <w:rPr>
          <w:rFonts w:ascii="Times New Roman" w:hAnsi="Times New Roman" w:cs="Times New Roman"/>
          <w:b/>
          <w:bCs/>
          <w:sz w:val="24"/>
          <w:szCs w:val="24"/>
          <w:lang w:val="es-MX" w:eastAsia="es-MX"/>
        </w:rPr>
      </w:pPr>
      <w:r w:rsidRPr="005A1183">
        <w:rPr>
          <w:rFonts w:ascii="Times New Roman" w:hAnsi="Times New Roman" w:cs="Times New Roman"/>
          <w:b/>
          <w:bCs/>
          <w:sz w:val="24"/>
          <w:szCs w:val="24"/>
          <w:lang w:val="es-MX" w:eastAsia="es-MX"/>
        </w:rPr>
        <w:t>La aptitud corporal para la actividad sexual;</w:t>
      </w:r>
    </w:p>
    <w:p w14:paraId="6C077E4B" w14:textId="46872123" w:rsidR="00AD6B09" w:rsidRDefault="006D72DF"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La segmentación de la adolescencia en grupos de edad 10-14 (o 10-11 y 12-14), 15-17 y 18-19 proporciona un marco útil para el análisis comparativo de (a) las evoluciones específicas de cada género en la maduración sexual y cognitiva en cada edad (por ejemplo, </w:t>
      </w:r>
      <w:r w:rsidRPr="004B0884">
        <w:rPr>
          <w:rFonts w:ascii="Times New Roman" w:hAnsi="Times New Roman" w:cs="Times New Roman"/>
          <w:sz w:val="24"/>
          <w:szCs w:val="24"/>
          <w:lang w:val="es-MX" w:eastAsia="es-MX"/>
        </w:rPr>
        <w:lastRenderedPageBreak/>
        <w:t>por grupo de edad o por edad exacta a los 12, 15 y 18 años) en diversas poblaciones; (b) el comienzo, la velocidad y las características de las transiciones sexuales, matrimoniales y reproductivas que los adolescentes eligen (o se ven presionados u obligados a realizar) en cada edad; y (c) las implicaciones políticas y programáticas de estas "edades y etapas" en contextos particulares de oportunidades y riesgos. Estas agrupaciones por edades enfatizan los comportamientos, necesidades y preocupaciones de los adolescentes menores de 15 años que no están incluidos en la categoría estándar de 15-19 años, y que, por lo tanto, suelen ser pasados por alto, así como las notables.</w:t>
      </w:r>
    </w:p>
    <w:p w14:paraId="490F085E" w14:textId="5B73032C" w:rsidR="003448D2" w:rsidRPr="003448D2" w:rsidRDefault="00A75308" w:rsidP="00B939F3">
      <w:pPr>
        <w:spacing w:line="480" w:lineRule="auto"/>
        <w:ind w:left="567" w:firstLine="720"/>
        <w:rPr>
          <w:rFonts w:ascii="Times New Roman" w:hAnsi="Times New Roman" w:cs="Times New Roman"/>
          <w:sz w:val="28"/>
          <w:szCs w:val="28"/>
          <w:lang w:val="es-MX" w:eastAsia="es-MX"/>
        </w:rPr>
      </w:pPr>
      <w:r w:rsidRPr="00A75308">
        <w:rPr>
          <w:rFonts w:ascii="Times New Roman" w:hAnsi="Times New Roman" w:cs="Times New Roman"/>
          <w:sz w:val="24"/>
          <w:szCs w:val="24"/>
          <w:lang w:val="en-US"/>
        </w:rPr>
        <w:t>No matter how mature they may seem to themselves or others or how gorgeous they may be as young brides, girls under the age of 14 are nearly invariably too young to engage in sexual activity from the perspective of the physiological fitness of the female body. When they are 15 to 17 years old, girls who had menarche reasonably early (between 11 and 13 years) will be physically mature enough, but girls who did not would not.</w:t>
      </w:r>
      <w:r w:rsidR="003448D2" w:rsidRPr="003448D2">
        <w:rPr>
          <w:rFonts w:ascii="Times New Roman" w:hAnsi="Times New Roman" w:cs="Times New Roman"/>
          <w:sz w:val="24"/>
          <w:szCs w:val="24"/>
          <w:lang w:val="en-US"/>
        </w:rPr>
        <w:t xml:space="preserve"> </w:t>
      </w:r>
      <w:r w:rsidR="003448D2" w:rsidRPr="00BD29A6">
        <w:rPr>
          <w:rFonts w:ascii="Times New Roman" w:hAnsi="Times New Roman" w:cs="Times New Roman"/>
          <w:sz w:val="24"/>
          <w:szCs w:val="24"/>
          <w:lang w:val="es-VE"/>
        </w:rPr>
        <w:t>(Dixon-Mueller, 2008).</w:t>
      </w:r>
    </w:p>
    <w:p w14:paraId="325CC650" w14:textId="71E8A5C0" w:rsidR="006D72DF" w:rsidRPr="004B0884" w:rsidRDefault="006D72DF"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Aunque la agrupación quinquenal resulta útil para ciertos propósitos, se pierden las variaciones en las trayectorias de los eventos sexuales, matrimoniales y reproductivos de hombres y mujeres antes y dentro de este grupo de edad. Basándose en el análisis de las transiciones de la juventud a la adultez en países en desarrollo, realizado por el Consejo Nacional de Investigación de Estados Unidos, dicho estudio sugiere una división de la adolescencia en tres categorías de edad: adolescencia temprana (10-14 años, o 10-11 y 12-14 años), adolescencia media (15-17 años) y adolescencia tardía (18-19 años). Cada una de estas categorías posee características fisiológicas específicas de género, connotaciones socioculturales e implicaciones políticas.</w:t>
      </w:r>
    </w:p>
    <w:p w14:paraId="052B9F0E" w14:textId="03FD0A8B" w:rsidR="006D72DF" w:rsidRPr="004B0884" w:rsidRDefault="006D72DF"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lastRenderedPageBreak/>
        <w:t>Debido a que las edades cronológicas y las etapas de desarrollo no están estrechamente sincronizadas y los entornos de riesgos, oportunidades y restricciones varían drásticamente entre países y dentro de ellos, establecer una edad mínima por debajo de la cual los adolescentes de ambos géneros sean "demasiado jóvenes" (o, por otro lado, una edad en la que sean "suficientemente mayores") para realizar transiciones sexuales, matrimoniales y reproductivas seguras es propenso a ser arbitrario. Los diferentes individuos y grupos experimentan sus etapas de desarrollo en edades distintas. Los procesos de crecimiento físico, sexual y cognitivo de los adolescentes no se alinean entre sí y, a menudo, tampoco con las expectativas sociales. La maduración sexual y reproductiva se completa antes que la cognitiva, y las chicas suelen madurar antes que los chicos.</w:t>
      </w:r>
    </w:p>
    <w:p w14:paraId="0FCB32FF" w14:textId="43F70BC0" w:rsidR="00671166" w:rsidRPr="004B0884" w:rsidRDefault="00671166"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No obstante, considerando los criterios aquí analizados, los adolescentes de 10 a 14 años son, en esencia, "demasiado jóvenes" para llevar a cabo dichas transiciones, aunque muchos ya lo estén haciendo, debido a que carecen de la madurez fisiológica y cognitiva, así como de la información, habilidades y capacidad de acción necesarias para proteger su salud y sus derechos.</w:t>
      </w:r>
    </w:p>
    <w:p w14:paraId="1D8A2E9F" w14:textId="2EB42D99" w:rsidR="00671166" w:rsidRPr="004B0884" w:rsidRDefault="00671166"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Es urgente la necesidad de inversiones nacionales y locales para mejorar la salud física y las capacidades cognitivas (conocimientos, habilidades para resolver problemas y tomar decisiones) de los jóvenes de 10 a 14 años, la mayoría de los cuales aún se encuentran escolarizados en la mayoría de los países en desarrollo.</w:t>
      </w:r>
    </w:p>
    <w:p w14:paraId="7DE8F25A" w14:textId="4459733C" w:rsidR="00671166" w:rsidRPr="004B0884" w:rsidRDefault="00671166"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Los ejemplos positivos de igualdad de género y de relaciones sexuales basadas en la equidad de derechos y en "el respeto recíproco, el consentimiento y la responsabilidad compartida por el comportamiento sexual y sus consecuencias" (Plataforma de Acción de la Cuarta Conferencia Mundial sobre la Mujer, párrafo 96) son un componente fundamental en </w:t>
      </w:r>
      <w:r w:rsidRPr="004B0884">
        <w:rPr>
          <w:rFonts w:ascii="Times New Roman" w:hAnsi="Times New Roman" w:cs="Times New Roman"/>
          <w:sz w:val="24"/>
          <w:szCs w:val="24"/>
          <w:lang w:val="es-MX" w:eastAsia="es-MX"/>
        </w:rPr>
        <w:lastRenderedPageBreak/>
        <w:t xml:space="preserve">el desarrollo de habilidades a esta edad (Breinbauer y </w:t>
      </w:r>
      <w:proofErr w:type="spellStart"/>
      <w:r w:rsidRPr="004B0884">
        <w:rPr>
          <w:rFonts w:ascii="Times New Roman" w:hAnsi="Times New Roman" w:cs="Times New Roman"/>
          <w:sz w:val="24"/>
          <w:szCs w:val="24"/>
          <w:lang w:val="es-MX" w:eastAsia="es-MX"/>
        </w:rPr>
        <w:t>Maddaleno</w:t>
      </w:r>
      <w:proofErr w:type="spellEnd"/>
      <w:r w:rsidRPr="004B0884">
        <w:rPr>
          <w:rFonts w:ascii="Times New Roman" w:hAnsi="Times New Roman" w:cs="Times New Roman"/>
          <w:sz w:val="24"/>
          <w:szCs w:val="24"/>
          <w:lang w:val="es-MX" w:eastAsia="es-MX"/>
        </w:rPr>
        <w:t xml:space="preserve">, 2005, p. 302-305, 328-331; </w:t>
      </w:r>
      <w:proofErr w:type="spellStart"/>
      <w:r w:rsidRPr="004B0884">
        <w:rPr>
          <w:rFonts w:ascii="Times New Roman" w:hAnsi="Times New Roman" w:cs="Times New Roman"/>
          <w:sz w:val="24"/>
          <w:szCs w:val="24"/>
          <w:lang w:val="es-MX" w:eastAsia="es-MX"/>
        </w:rPr>
        <w:t>Rogow</w:t>
      </w:r>
      <w:proofErr w:type="spellEnd"/>
      <w:r w:rsidRPr="004B0884">
        <w:rPr>
          <w:rFonts w:ascii="Times New Roman" w:hAnsi="Times New Roman" w:cs="Times New Roman"/>
          <w:sz w:val="24"/>
          <w:szCs w:val="24"/>
          <w:lang w:val="es-MX" w:eastAsia="es-MX"/>
        </w:rPr>
        <w:t xml:space="preserve"> y </w:t>
      </w:r>
      <w:proofErr w:type="spellStart"/>
      <w:r w:rsidRPr="004B0884">
        <w:rPr>
          <w:rFonts w:ascii="Times New Roman" w:hAnsi="Times New Roman" w:cs="Times New Roman"/>
          <w:sz w:val="24"/>
          <w:szCs w:val="24"/>
          <w:lang w:val="es-MX" w:eastAsia="es-MX"/>
        </w:rPr>
        <w:t>Haberland</w:t>
      </w:r>
      <w:proofErr w:type="spellEnd"/>
      <w:r w:rsidRPr="004B0884">
        <w:rPr>
          <w:rFonts w:ascii="Times New Roman" w:hAnsi="Times New Roman" w:cs="Times New Roman"/>
          <w:sz w:val="24"/>
          <w:szCs w:val="24"/>
          <w:lang w:val="es-MX" w:eastAsia="es-MX"/>
        </w:rPr>
        <w:t xml:space="preserve"> 2005). Igualmente, importante es proporcionar información y servicios integrales de salud sexual y reproductiva, además de apoyo legal y social, para disminuir la incidencia de transiciones sexuales, matrimoniales y reproductivas tempranas, ya sean voluntarias, persuadidas o forzadas, y para mejorar las consecuencias perjudiciales de las que suceden. Entre los 15 y 17 años, los adolescentes de muchos países experimentan rápidas transiciones sexuales (y, en el caso de las niñas, matrimoniales y reproductivas), (Lloyd, 2005).</w:t>
      </w:r>
    </w:p>
    <w:p w14:paraId="6638F93A" w14:textId="77777777" w:rsidR="005A1183" w:rsidRPr="005A1183" w:rsidRDefault="005A1183" w:rsidP="00B939F3">
      <w:pPr>
        <w:pStyle w:val="Prrafodelista"/>
        <w:numPr>
          <w:ilvl w:val="0"/>
          <w:numId w:val="15"/>
        </w:numPr>
        <w:spacing w:line="480" w:lineRule="auto"/>
        <w:rPr>
          <w:rFonts w:ascii="Times New Roman" w:hAnsi="Times New Roman" w:cs="Times New Roman"/>
          <w:b/>
          <w:bCs/>
          <w:sz w:val="24"/>
          <w:szCs w:val="24"/>
          <w:lang w:val="es-MX" w:eastAsia="es-MX"/>
        </w:rPr>
      </w:pPr>
      <w:r w:rsidRPr="005A1183">
        <w:rPr>
          <w:rFonts w:ascii="Times New Roman" w:hAnsi="Times New Roman" w:cs="Times New Roman"/>
          <w:b/>
          <w:bCs/>
          <w:sz w:val="24"/>
          <w:szCs w:val="24"/>
          <w:lang w:val="es-MX" w:eastAsia="es-MX"/>
        </w:rPr>
        <w:t>La capacidad de realizar valoraciones conscientes y seguras ejemplifica una capacidad cognitiva.</w:t>
      </w:r>
    </w:p>
    <w:p w14:paraId="6CDDE341" w14:textId="24A97860" w:rsidR="003448D2" w:rsidRPr="00BD29A6" w:rsidRDefault="003448D2" w:rsidP="00B939F3">
      <w:pPr>
        <w:spacing w:line="480" w:lineRule="auto"/>
        <w:ind w:firstLine="360"/>
        <w:rPr>
          <w:rFonts w:ascii="Times New Roman" w:hAnsi="Times New Roman" w:cs="Times New Roman"/>
          <w:b/>
          <w:bCs/>
          <w:sz w:val="28"/>
          <w:szCs w:val="28"/>
          <w:lang w:val="es-VE" w:eastAsia="es-MX"/>
        </w:rPr>
      </w:pPr>
      <w:r>
        <w:rPr>
          <w:rFonts w:ascii="Times New Roman" w:hAnsi="Times New Roman" w:cs="Times New Roman"/>
          <w:sz w:val="24"/>
          <w:szCs w:val="24"/>
          <w:lang w:val="en-US"/>
        </w:rPr>
        <w:t>“</w:t>
      </w:r>
      <w:r w:rsidR="005A2C77" w:rsidRPr="005A2C77">
        <w:rPr>
          <w:rFonts w:ascii="Times New Roman" w:hAnsi="Times New Roman" w:cs="Times New Roman"/>
          <w:sz w:val="24"/>
          <w:szCs w:val="24"/>
          <w:lang w:val="en-US"/>
        </w:rPr>
        <w:t>Over the course of adolescence, there are unequal changes in the brain regions and mental functions related to emotions, social interactions (empathy, social bonding), and the ability for critical and rational reasoning</w:t>
      </w:r>
      <w:r>
        <w:rPr>
          <w:rFonts w:ascii="Times New Roman" w:hAnsi="Times New Roman" w:cs="Times New Roman"/>
          <w:sz w:val="24"/>
          <w:szCs w:val="24"/>
          <w:lang w:val="en-US"/>
        </w:rPr>
        <w:t>”</w:t>
      </w:r>
      <w:r w:rsidRPr="003448D2">
        <w:rPr>
          <w:rFonts w:ascii="Times New Roman" w:hAnsi="Times New Roman" w:cs="Times New Roman"/>
          <w:sz w:val="24"/>
          <w:szCs w:val="24"/>
          <w:lang w:val="en-US"/>
        </w:rPr>
        <w:t xml:space="preserve">. </w:t>
      </w:r>
      <w:r w:rsidRPr="00BD29A6">
        <w:rPr>
          <w:rFonts w:ascii="Times New Roman" w:hAnsi="Times New Roman" w:cs="Times New Roman"/>
          <w:sz w:val="24"/>
          <w:szCs w:val="24"/>
          <w:lang w:val="es-VE"/>
        </w:rPr>
        <w:t>(Dixon-Mueller, 2008).</w:t>
      </w:r>
    </w:p>
    <w:p w14:paraId="4979A49E" w14:textId="77777777" w:rsidR="00D42234" w:rsidRDefault="00D42234" w:rsidP="00B939F3">
      <w:pPr>
        <w:spacing w:line="480" w:lineRule="auto"/>
        <w:rPr>
          <w:rFonts w:ascii="Times New Roman" w:hAnsi="Times New Roman" w:cs="Times New Roman"/>
          <w:sz w:val="24"/>
          <w:szCs w:val="24"/>
          <w:lang w:val="es-MX" w:eastAsia="es-MX"/>
        </w:rPr>
      </w:pPr>
      <w:r>
        <w:rPr>
          <w:rFonts w:ascii="Times New Roman" w:hAnsi="Times New Roman" w:cs="Times New Roman"/>
          <w:sz w:val="24"/>
          <w:szCs w:val="24"/>
          <w:lang w:val="es-MX" w:eastAsia="es-MX"/>
        </w:rPr>
        <w:t xml:space="preserve">          </w:t>
      </w:r>
      <w:r w:rsidR="00671166" w:rsidRPr="004B0884">
        <w:rPr>
          <w:rFonts w:ascii="Times New Roman" w:hAnsi="Times New Roman" w:cs="Times New Roman"/>
          <w:sz w:val="24"/>
          <w:szCs w:val="24"/>
          <w:lang w:val="es-MX" w:eastAsia="es-MX"/>
        </w:rPr>
        <w:t xml:space="preserve">Durante la adolescencia, se produce una progresión desigual en el desarrollo de las estructuras cerebrales y los procesos mentales relacionados con las emociones, las relaciones interpersonales y la capacidad de pensamiento crítico y lógico. Estos desarrollos están estrechamente ligados a los procesos hormonales de maduración corporal, por lo que las variaciones en el inicio y ritmo de las transiciones puberales entre individuos y grupos también marcan el crecimiento y la maduración del cerebro (Campbell, 2003; </w:t>
      </w:r>
      <w:proofErr w:type="spellStart"/>
      <w:r w:rsidR="00671166" w:rsidRPr="004B0884">
        <w:rPr>
          <w:rFonts w:ascii="Times New Roman" w:hAnsi="Times New Roman" w:cs="Times New Roman"/>
          <w:sz w:val="24"/>
          <w:szCs w:val="24"/>
          <w:lang w:val="es-MX" w:eastAsia="es-MX"/>
        </w:rPr>
        <w:t>Patton</w:t>
      </w:r>
      <w:proofErr w:type="spellEnd"/>
      <w:r w:rsidR="00671166" w:rsidRPr="004B0884">
        <w:rPr>
          <w:rFonts w:ascii="Times New Roman" w:hAnsi="Times New Roman" w:cs="Times New Roman"/>
          <w:sz w:val="24"/>
          <w:szCs w:val="24"/>
          <w:lang w:val="es-MX" w:eastAsia="es-MX"/>
        </w:rPr>
        <w:t xml:space="preserve"> y Viner, 2007).</w:t>
      </w:r>
    </w:p>
    <w:p w14:paraId="76445C7C" w14:textId="7A4A3169" w:rsidR="00671166" w:rsidRPr="004B0884" w:rsidRDefault="00D42234" w:rsidP="00B939F3">
      <w:pPr>
        <w:spacing w:line="480" w:lineRule="auto"/>
        <w:rPr>
          <w:rFonts w:ascii="Times New Roman" w:hAnsi="Times New Roman" w:cs="Times New Roman"/>
          <w:sz w:val="24"/>
          <w:szCs w:val="24"/>
          <w:lang w:val="es-MX" w:eastAsia="es-MX"/>
        </w:rPr>
      </w:pPr>
      <w:r>
        <w:rPr>
          <w:rFonts w:ascii="Times New Roman" w:hAnsi="Times New Roman" w:cs="Times New Roman"/>
          <w:sz w:val="24"/>
          <w:szCs w:val="24"/>
          <w:lang w:val="es-MX" w:eastAsia="es-MX"/>
        </w:rPr>
        <w:t xml:space="preserve">          </w:t>
      </w:r>
      <w:r w:rsidR="00671166" w:rsidRPr="004B0884">
        <w:rPr>
          <w:rFonts w:ascii="Times New Roman" w:hAnsi="Times New Roman" w:cs="Times New Roman"/>
          <w:sz w:val="24"/>
          <w:szCs w:val="24"/>
          <w:lang w:val="es-MX" w:eastAsia="es-MX"/>
        </w:rPr>
        <w:t xml:space="preserve">En la adrenarquia, el inicio de la pubertad en la infancia tardía, las niñas experimentan una acumulación gradual de "hormonas femeninas" como el estrógeno y la progesterona, que </w:t>
      </w:r>
      <w:r w:rsidR="00671166" w:rsidRPr="004B0884">
        <w:rPr>
          <w:rFonts w:ascii="Times New Roman" w:hAnsi="Times New Roman" w:cs="Times New Roman"/>
          <w:sz w:val="24"/>
          <w:szCs w:val="24"/>
          <w:lang w:val="es-MX" w:eastAsia="es-MX"/>
        </w:rPr>
        <w:lastRenderedPageBreak/>
        <w:t>se liberan de la corteza suprarrenal en un patrón cíclico que comienza unos dos años antes de la menarquia (</w:t>
      </w:r>
      <w:proofErr w:type="spellStart"/>
      <w:r w:rsidR="00671166" w:rsidRPr="004B0884">
        <w:rPr>
          <w:rFonts w:ascii="Times New Roman" w:hAnsi="Times New Roman" w:cs="Times New Roman"/>
          <w:sz w:val="24"/>
          <w:szCs w:val="24"/>
          <w:lang w:val="es-MX" w:eastAsia="es-MX"/>
        </w:rPr>
        <w:t>Bullough</w:t>
      </w:r>
      <w:proofErr w:type="spellEnd"/>
      <w:r w:rsidR="00671166" w:rsidRPr="004B0884">
        <w:rPr>
          <w:rFonts w:ascii="Times New Roman" w:hAnsi="Times New Roman" w:cs="Times New Roman"/>
          <w:sz w:val="24"/>
          <w:szCs w:val="24"/>
          <w:lang w:val="es-MX" w:eastAsia="es-MX"/>
        </w:rPr>
        <w:t xml:space="preserve"> y </w:t>
      </w:r>
      <w:proofErr w:type="spellStart"/>
      <w:r w:rsidR="00671166" w:rsidRPr="004B0884">
        <w:rPr>
          <w:rFonts w:ascii="Times New Roman" w:hAnsi="Times New Roman" w:cs="Times New Roman"/>
          <w:sz w:val="24"/>
          <w:szCs w:val="24"/>
          <w:lang w:val="es-MX" w:eastAsia="es-MX"/>
        </w:rPr>
        <w:t>Bullough</w:t>
      </w:r>
      <w:proofErr w:type="spellEnd"/>
      <w:r w:rsidR="00671166" w:rsidRPr="004B0884">
        <w:rPr>
          <w:rFonts w:ascii="Times New Roman" w:hAnsi="Times New Roman" w:cs="Times New Roman"/>
          <w:sz w:val="24"/>
          <w:szCs w:val="24"/>
          <w:lang w:val="es-MX" w:eastAsia="es-MX"/>
        </w:rPr>
        <w:t>, 1994, p. 289). Además, experimentan un pequeño aumento de "hormonas masculinas" como los andrógenos, principalmente la testosterona, que provienen de la corteza suprarrenal y son responsables del estirón precoz. A partir de la menarquia, los ovarios son responsables de la producción primaria de hormonas femeninas que, a diferencia de los andrógenos, suprimen ligeramente la libido.</w:t>
      </w:r>
    </w:p>
    <w:p w14:paraId="28304453" w14:textId="60038137" w:rsidR="00CA67EF" w:rsidRPr="004B0884" w:rsidRDefault="00671166" w:rsidP="00B939F3">
      <w:pPr>
        <w:spacing w:line="480" w:lineRule="auto"/>
        <w:ind w:firstLine="36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Por otro lado, los varones que entran en la pubertad reciben fuertes descargas de testosterona procedentes de la corteza suprarrenal y los testículos, lo que estimula el cerebro hacia la excitación sexual, la impulsividad y la "búsqueda de sensaciones" (Campbell, 2003).</w:t>
      </w:r>
    </w:p>
    <w:p w14:paraId="160708CF" w14:textId="3C07AF0F" w:rsidR="00CA67EF" w:rsidRPr="004B0884" w:rsidRDefault="00CA67EF" w:rsidP="00B939F3">
      <w:pPr>
        <w:spacing w:line="480" w:lineRule="auto"/>
        <w:ind w:firstLine="36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El crecimiento y funcionamiento cerebral son resultado no solo de factores hormonales, sino también de influencias genéticas, estados nutricionales y experiencias educativas, emocionales y vitales. A los 10-12 años, el lóbulo prefrontal, encargado de tareas como el control de impulsos, la organización compleja y el razonamiento abstracto, todavía no está completamente desarrollado (Breinbauer y </w:t>
      </w:r>
      <w:proofErr w:type="spellStart"/>
      <w:r w:rsidRPr="004B0884">
        <w:rPr>
          <w:rFonts w:ascii="Times New Roman" w:hAnsi="Times New Roman" w:cs="Times New Roman"/>
          <w:sz w:val="24"/>
          <w:szCs w:val="24"/>
          <w:lang w:val="es-MX" w:eastAsia="es-MX"/>
        </w:rPr>
        <w:t>Maddaleno</w:t>
      </w:r>
      <w:proofErr w:type="spellEnd"/>
      <w:r w:rsidRPr="004B0884">
        <w:rPr>
          <w:rFonts w:ascii="Times New Roman" w:hAnsi="Times New Roman" w:cs="Times New Roman"/>
          <w:sz w:val="24"/>
          <w:szCs w:val="24"/>
          <w:lang w:val="es-MX" w:eastAsia="es-MX"/>
        </w:rPr>
        <w:t>, 2005, p.262).</w:t>
      </w:r>
    </w:p>
    <w:p w14:paraId="1EFE9A35" w14:textId="440C429B" w:rsidR="00CA67EF" w:rsidRPr="004B0884" w:rsidRDefault="00CA67EF"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Alrededor de los 12-14 años en las niñas sanas y de los 13-15 años en los niños, las conexiones neuronales para el pensamiento conceptual avanzado y el razonamiento lógico se están estableciendo en interacción con estímulos ambientales. Sin embargo, no es hasta los 14-16 años en las chicas y los 15-17 en los chicos cuando se produce "un avance significativo hacia el pensamiento abstracto y las funciones metacognitivas completas" (Breinbauer y </w:t>
      </w:r>
      <w:proofErr w:type="spellStart"/>
      <w:r w:rsidRPr="004B0884">
        <w:rPr>
          <w:rFonts w:ascii="Times New Roman" w:hAnsi="Times New Roman" w:cs="Times New Roman"/>
          <w:sz w:val="24"/>
          <w:szCs w:val="24"/>
          <w:lang w:val="es-MX" w:eastAsia="es-MX"/>
        </w:rPr>
        <w:t>Maddaleno</w:t>
      </w:r>
      <w:proofErr w:type="spellEnd"/>
      <w:r w:rsidRPr="004B0884">
        <w:rPr>
          <w:rFonts w:ascii="Times New Roman" w:hAnsi="Times New Roman" w:cs="Times New Roman"/>
          <w:sz w:val="24"/>
          <w:szCs w:val="24"/>
          <w:lang w:val="es-MX" w:eastAsia="es-MX"/>
        </w:rPr>
        <w:t>, 2005, p. 262).</w:t>
      </w:r>
    </w:p>
    <w:p w14:paraId="2563FE44" w14:textId="4E7B6895" w:rsidR="00CA67EF" w:rsidRPr="004B0884" w:rsidRDefault="00CA67EF"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A los 18 años, en la mayoría de los individuos saludables (aunque más tarde en aquellos pertenecientes a poblaciones en desventaja), las estructuras cerebrales y los procesos </w:t>
      </w:r>
      <w:r w:rsidRPr="004B0884">
        <w:rPr>
          <w:rFonts w:ascii="Times New Roman" w:hAnsi="Times New Roman" w:cs="Times New Roman"/>
          <w:sz w:val="24"/>
          <w:szCs w:val="24"/>
          <w:lang w:val="es-MX" w:eastAsia="es-MX"/>
        </w:rPr>
        <w:lastRenderedPageBreak/>
        <w:t xml:space="preserve">cognitivos están prácticamente completamente desarrollados, los sistemas hormonales se encuentran equilibrados y tanto la toma de riesgos como la búsqueda de experiencias emocionantes comienzan a disminuir. El progreso en las áreas del cerebro vinculadas al control de impulsos y al discernimiento maduro se prolonga durante más de diez años después de la pubertad, extendiéndose hasta bien entrada la vida adulta (Breinbauer y </w:t>
      </w:r>
      <w:proofErr w:type="spellStart"/>
      <w:r w:rsidRPr="004B0884">
        <w:rPr>
          <w:rFonts w:ascii="Times New Roman" w:hAnsi="Times New Roman" w:cs="Times New Roman"/>
          <w:sz w:val="24"/>
          <w:szCs w:val="24"/>
          <w:lang w:val="es-MX" w:eastAsia="es-MX"/>
        </w:rPr>
        <w:t>Maddaleno</w:t>
      </w:r>
      <w:proofErr w:type="spellEnd"/>
      <w:r w:rsidRPr="004B0884">
        <w:rPr>
          <w:rFonts w:ascii="Times New Roman" w:hAnsi="Times New Roman" w:cs="Times New Roman"/>
          <w:sz w:val="24"/>
          <w:szCs w:val="24"/>
          <w:lang w:val="es-MX" w:eastAsia="es-MX"/>
        </w:rPr>
        <w:t xml:space="preserve"> 2005; </w:t>
      </w:r>
      <w:proofErr w:type="spellStart"/>
      <w:r w:rsidRPr="004B0884">
        <w:rPr>
          <w:rFonts w:ascii="Times New Roman" w:hAnsi="Times New Roman" w:cs="Times New Roman"/>
          <w:sz w:val="24"/>
          <w:szCs w:val="24"/>
          <w:lang w:val="es-MX" w:eastAsia="es-MX"/>
        </w:rPr>
        <w:t>Patton</w:t>
      </w:r>
      <w:proofErr w:type="spellEnd"/>
      <w:r w:rsidRPr="004B0884">
        <w:rPr>
          <w:rFonts w:ascii="Times New Roman" w:hAnsi="Times New Roman" w:cs="Times New Roman"/>
          <w:sz w:val="24"/>
          <w:szCs w:val="24"/>
          <w:lang w:val="es-MX" w:eastAsia="es-MX"/>
        </w:rPr>
        <w:t xml:space="preserve"> y Viner 2007: 1.133).</w:t>
      </w:r>
    </w:p>
    <w:p w14:paraId="6F67F78A" w14:textId="4E43108D" w:rsidR="00CC07CA" w:rsidRPr="004B0884" w:rsidRDefault="00CC07CA"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La Convención de las Naciones Unidas sobre los Derechos del Niño, aplicable a todas las personas menores de 18 años, salvo que alcancen la mayoría de edad legal antes, destaca la "evolución de las capacidades" de los adolescentes para tomar decisiones responsables en nombre propio como un aspecto fundamental en el ejercicio de sus derechos a la libertad y protección (Artículos 5, 14). Al determinar si los adolescentes solteros menores de 18 años poseen la madurez adecuada para acceder a servicios de salud sexual y reproductiva sin el consentimiento de sus padres, (Cook y Dickens, 2000, p. 20) sugieren que un indicativo de dicha madurez "es que entiendan la importancia de cuidar su salud reproductiva y soliciten servicios anticonceptivos [y/o condones para protección contra ETS] cuando sean sexualmente activos o estén próximos a serlo".</w:t>
      </w:r>
    </w:p>
    <w:p w14:paraId="7DDEC6A3" w14:textId="10CA55C2" w:rsidR="00CC07CA" w:rsidRPr="004B0884" w:rsidRDefault="00CC07CA"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Esta interpretación se sustenta en al menos tres aspectos de la disposición cognitiva para las relaciones sexuales, cada uno de los cuales requiere la obtención de información vital y destrezas prácticas, además de habilidades cognitivas inherentes:</w:t>
      </w:r>
    </w:p>
    <w:p w14:paraId="2D410C01" w14:textId="77777777" w:rsidR="00CC07CA" w:rsidRPr="004B0884" w:rsidRDefault="00CC07CA"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(1) entendimiento de la importancia de protegerse contra embarazos no planificados e ITS/VIH (por ejemplo, conciencia general; conocimientos específicos; evaluación adecuada del riesgo personal; y reconocimiento de las posibles repercusiones de las propias acciones o inacciones para uno mismo y para otros, así como la disposición para asumirlas);</w:t>
      </w:r>
    </w:p>
    <w:p w14:paraId="3D489C2A" w14:textId="0180FA4B" w:rsidR="00CC07CA" w:rsidRPr="004B0884" w:rsidRDefault="00CC07CA"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lastRenderedPageBreak/>
        <w:t>(2) habilidad para actuar basándose en la información sobre salud sexual y reproductiva (por ejemplo, iniciativa personal, capacidad para adquirir condones u otros métodos anticonceptivos, y habilidad para acceder a los servicios necesarios); y</w:t>
      </w:r>
    </w:p>
    <w:p w14:paraId="64D957BD" w14:textId="480D59CA" w:rsidR="00CC07CA" w:rsidRPr="004B0884" w:rsidRDefault="00CC07CA"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(3) habilidad para anticipar y planificar la actividad sexual (por ejemplo, conciencia del derecho a decidir sobre la propia sexualidad, capacidad para controlar los impulsos sexuales y evitar coaccionar a otros, habilidad para resistir presiones para tener relaciones sexuales no deseadas, y desarrollo de destrezas de comunicación interpersonal y negociación).</w:t>
      </w:r>
    </w:p>
    <w:p w14:paraId="4C0EC485" w14:textId="0DD3B9A1" w:rsidR="00CC07CA" w:rsidRDefault="00CC07CA"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Todas estas habilidades o competencias están vinculadas a conceptos como "agencia personal" (</w:t>
      </w:r>
      <w:proofErr w:type="spellStart"/>
      <w:r w:rsidRPr="004B0884">
        <w:rPr>
          <w:rFonts w:ascii="Times New Roman" w:hAnsi="Times New Roman" w:cs="Times New Roman"/>
          <w:sz w:val="24"/>
          <w:szCs w:val="24"/>
          <w:lang w:val="es-MX" w:eastAsia="es-MX"/>
        </w:rPr>
        <w:t>Jejeebhoy</w:t>
      </w:r>
      <w:proofErr w:type="spellEnd"/>
      <w:r w:rsidRPr="004B0884">
        <w:rPr>
          <w:rFonts w:ascii="Times New Roman" w:hAnsi="Times New Roman" w:cs="Times New Roman"/>
          <w:sz w:val="24"/>
          <w:szCs w:val="24"/>
          <w:lang w:val="es-MX" w:eastAsia="es-MX"/>
        </w:rPr>
        <w:t>, 2006), "autoeficacia" (Karim, 2003) y "locus de control" (</w:t>
      </w:r>
      <w:proofErr w:type="spellStart"/>
      <w:r w:rsidRPr="004B0884">
        <w:rPr>
          <w:rFonts w:ascii="Times New Roman" w:hAnsi="Times New Roman" w:cs="Times New Roman"/>
          <w:sz w:val="24"/>
          <w:szCs w:val="24"/>
          <w:lang w:val="es-MX" w:eastAsia="es-MX"/>
        </w:rPr>
        <w:t>Gueye</w:t>
      </w:r>
      <w:proofErr w:type="spellEnd"/>
      <w:r w:rsidRPr="004B0884">
        <w:rPr>
          <w:rFonts w:ascii="Times New Roman" w:hAnsi="Times New Roman" w:cs="Times New Roman"/>
          <w:sz w:val="24"/>
          <w:szCs w:val="24"/>
          <w:lang w:val="es-MX" w:eastAsia="es-MX"/>
        </w:rPr>
        <w:t>, 2001), que miden la capacidad en desarrollo de los adolescentes para tomar decisiones voluntarias, seguras e informadas en aspectos fundamentales de sus vidas, incluyendo su salud sexual y reproductiva.</w:t>
      </w:r>
    </w:p>
    <w:p w14:paraId="0E850D8A" w14:textId="5EBEA086" w:rsidR="003448D2" w:rsidRPr="00BD29A6" w:rsidRDefault="003448D2" w:rsidP="00B939F3">
      <w:pPr>
        <w:spacing w:line="480" w:lineRule="auto"/>
        <w:ind w:firstLine="720"/>
        <w:rPr>
          <w:rFonts w:ascii="Times New Roman" w:hAnsi="Times New Roman" w:cs="Times New Roman"/>
          <w:sz w:val="28"/>
          <w:szCs w:val="28"/>
          <w:lang w:val="es-VE" w:eastAsia="es-MX"/>
        </w:rPr>
      </w:pPr>
      <w:r w:rsidRPr="003475E4">
        <w:rPr>
          <w:rFonts w:ascii="Times New Roman" w:hAnsi="Times New Roman" w:cs="Times New Roman"/>
          <w:sz w:val="24"/>
          <w:szCs w:val="24"/>
          <w:lang w:val="en-US"/>
        </w:rPr>
        <w:t>“</w:t>
      </w:r>
      <w:r w:rsidR="003475E4" w:rsidRPr="003475E4">
        <w:rPr>
          <w:rFonts w:ascii="Times New Roman" w:hAnsi="Times New Roman" w:cs="Times New Roman"/>
          <w:sz w:val="24"/>
          <w:szCs w:val="24"/>
          <w:lang w:val="en-US"/>
        </w:rPr>
        <w:t xml:space="preserve">18-year-old males and females should have acquired the maturity, information, and skills necessary to engage in sexual behavior in a safe and consensual way. </w:t>
      </w:r>
      <w:r w:rsidRPr="003475E4">
        <w:rPr>
          <w:rFonts w:ascii="Times New Roman" w:hAnsi="Times New Roman" w:cs="Times New Roman"/>
          <w:sz w:val="24"/>
          <w:szCs w:val="24"/>
          <w:lang w:val="en-US"/>
        </w:rPr>
        <w:t xml:space="preserve">”. </w:t>
      </w:r>
      <w:r w:rsidRPr="003475E4">
        <w:rPr>
          <w:rFonts w:ascii="Times New Roman" w:hAnsi="Times New Roman" w:cs="Times New Roman"/>
          <w:sz w:val="24"/>
          <w:szCs w:val="24"/>
          <w:lang w:val="es-VE"/>
        </w:rPr>
        <w:t>(Dixon-Mueller, 2008).</w:t>
      </w:r>
    </w:p>
    <w:p w14:paraId="52B485D9" w14:textId="084F1E76" w:rsidR="004A56CD" w:rsidRPr="004B0884" w:rsidRDefault="004A56CD"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Las investigaciones sobre el conocimiento, las actitudes y las prácticas sexuales en niños y niñas menores de 14 años generalmente señalan que, a esa edad, existe una falta de madurez cognitiva para llevar a cabo relaciones sexuales seguras y consensuadas (Albert, 2003; </w:t>
      </w:r>
      <w:proofErr w:type="spellStart"/>
      <w:r w:rsidRPr="004B0884">
        <w:rPr>
          <w:rFonts w:ascii="Times New Roman" w:hAnsi="Times New Roman" w:cs="Times New Roman"/>
          <w:sz w:val="24"/>
          <w:szCs w:val="24"/>
          <w:lang w:val="es-MX" w:eastAsia="es-MX"/>
        </w:rPr>
        <w:t>Bankole</w:t>
      </w:r>
      <w:proofErr w:type="spellEnd"/>
      <w:r w:rsidRPr="004B0884">
        <w:rPr>
          <w:rFonts w:ascii="Times New Roman" w:hAnsi="Times New Roman" w:cs="Times New Roman"/>
          <w:sz w:val="24"/>
          <w:szCs w:val="24"/>
          <w:lang w:val="es-MX" w:eastAsia="es-MX"/>
        </w:rPr>
        <w:t xml:space="preserve">, 2007). A pesar de que muchos jóvenes, especialmente los varones, sienten un intenso deseo de experimentar con el sexo, la toma de riesgos en la adolescencia temprana se debe, en parte, a la falta de educación sexual adecuada en las escuelas y otros contextos, pero también está influenciada por la inmadurez emocional y la capacidad limitada para el juicio </w:t>
      </w:r>
      <w:r w:rsidRPr="004B0884">
        <w:rPr>
          <w:rFonts w:ascii="Times New Roman" w:hAnsi="Times New Roman" w:cs="Times New Roman"/>
          <w:sz w:val="24"/>
          <w:szCs w:val="24"/>
          <w:lang w:val="es-MX" w:eastAsia="es-MX"/>
        </w:rPr>
        <w:lastRenderedPageBreak/>
        <w:t>razonado. Por ejemplo, en Jamaica, los jóvenes de séptimo grado expresaron que los chicos de su edad (11-14) no deberían tener relaciones sexuales, pero admitieron minutos después que ellos mismos tendrían relaciones sexuales si se les presentara la oportunidad, e incluso, muchos de ellos ya lo habían hecho (</w:t>
      </w:r>
      <w:proofErr w:type="spellStart"/>
      <w:r w:rsidRPr="004B0884">
        <w:rPr>
          <w:rFonts w:ascii="Times New Roman" w:hAnsi="Times New Roman" w:cs="Times New Roman"/>
          <w:sz w:val="24"/>
          <w:szCs w:val="24"/>
          <w:lang w:val="es-MX" w:eastAsia="es-MX"/>
        </w:rPr>
        <w:t>Eggleston</w:t>
      </w:r>
      <w:proofErr w:type="spellEnd"/>
      <w:r w:rsidRPr="004B0884">
        <w:rPr>
          <w:rFonts w:ascii="Times New Roman" w:hAnsi="Times New Roman" w:cs="Times New Roman"/>
          <w:sz w:val="24"/>
          <w:szCs w:val="24"/>
          <w:lang w:val="es-MX" w:eastAsia="es-MX"/>
        </w:rPr>
        <w:t>, 1999).</w:t>
      </w:r>
    </w:p>
    <w:p w14:paraId="290BC472" w14:textId="748F1D09" w:rsidR="004F4F47" w:rsidRDefault="004F4F47" w:rsidP="00B939F3">
      <w:pPr>
        <w:pStyle w:val="Prrafodelista"/>
        <w:numPr>
          <w:ilvl w:val="0"/>
          <w:numId w:val="15"/>
        </w:numPr>
        <w:spacing w:line="480" w:lineRule="auto"/>
        <w:rPr>
          <w:rFonts w:ascii="Times New Roman" w:hAnsi="Times New Roman" w:cs="Times New Roman"/>
          <w:b/>
          <w:bCs/>
          <w:sz w:val="24"/>
          <w:szCs w:val="24"/>
          <w:lang w:val="es-MX" w:eastAsia="es-MX"/>
        </w:rPr>
      </w:pPr>
      <w:r w:rsidRPr="004F4F47">
        <w:rPr>
          <w:rFonts w:ascii="Times New Roman" w:hAnsi="Times New Roman" w:cs="Times New Roman"/>
          <w:b/>
          <w:bCs/>
          <w:sz w:val="24"/>
          <w:szCs w:val="24"/>
          <w:lang w:val="es-MX" w:eastAsia="es-MX"/>
        </w:rPr>
        <w:t xml:space="preserve">Las estructuras normativas se reflejan en las concepciones institucionalizadas de lo que significa ser "suficientemente maduro" para dar consentimiento </w:t>
      </w:r>
    </w:p>
    <w:p w14:paraId="257F86CD" w14:textId="36E89FF9" w:rsidR="007D7E00" w:rsidRPr="00B939F3" w:rsidRDefault="007D7E00" w:rsidP="00B939F3">
      <w:pPr>
        <w:spacing w:line="480" w:lineRule="auto"/>
        <w:ind w:left="360" w:firstLine="360"/>
        <w:rPr>
          <w:rFonts w:ascii="Times New Roman" w:hAnsi="Times New Roman" w:cs="Times New Roman"/>
          <w:sz w:val="24"/>
          <w:szCs w:val="24"/>
          <w:lang w:val="es-VE" w:eastAsia="es-MX"/>
        </w:rPr>
      </w:pPr>
      <w:r w:rsidRPr="00B939F3">
        <w:rPr>
          <w:rFonts w:ascii="Times New Roman" w:hAnsi="Times New Roman" w:cs="Times New Roman"/>
          <w:sz w:val="24"/>
          <w:szCs w:val="24"/>
          <w:lang w:val="es-VE" w:eastAsia="es-MX"/>
        </w:rPr>
        <w:t xml:space="preserve">      </w:t>
      </w:r>
      <w:r w:rsidR="001F2724" w:rsidRPr="001F2724">
        <w:rPr>
          <w:rFonts w:ascii="Times New Roman" w:hAnsi="Times New Roman" w:cs="Times New Roman"/>
          <w:sz w:val="24"/>
          <w:szCs w:val="24"/>
          <w:lang w:val="en-US" w:eastAsia="es-MX"/>
        </w:rPr>
        <w:t>Most nations have set a minimum age at which a child may knowingly agree to sexual activity.</w:t>
      </w:r>
      <w:r w:rsidR="00E63911">
        <w:rPr>
          <w:rFonts w:ascii="Times New Roman" w:hAnsi="Times New Roman" w:cs="Times New Roman"/>
          <w:sz w:val="24"/>
          <w:szCs w:val="24"/>
          <w:lang w:val="en-US" w:eastAsia="es-MX"/>
        </w:rPr>
        <w:t xml:space="preserve"> </w:t>
      </w:r>
      <w:r w:rsidR="001F2724" w:rsidRPr="001F2724">
        <w:rPr>
          <w:rFonts w:ascii="Times New Roman" w:hAnsi="Times New Roman" w:cs="Times New Roman"/>
          <w:sz w:val="24"/>
          <w:szCs w:val="24"/>
          <w:lang w:val="en-US" w:eastAsia="es-MX"/>
        </w:rPr>
        <w:t xml:space="preserve">17 In the last several decades, the average ages of female and male puberty declined in the majority of emerging nations. However, nowadays, the legal definitions of the acceptable ages for consent to sex have increased to 15, 16, or even 18 years old. </w:t>
      </w:r>
      <w:r>
        <w:rPr>
          <w:rFonts w:ascii="Times New Roman" w:hAnsi="Times New Roman" w:cs="Times New Roman"/>
          <w:sz w:val="24"/>
          <w:szCs w:val="24"/>
          <w:lang w:val="en-US" w:eastAsia="es-MX"/>
        </w:rPr>
        <w:t xml:space="preserve"> </w:t>
      </w:r>
      <w:r w:rsidRPr="00BD29A6">
        <w:rPr>
          <w:rFonts w:ascii="Times New Roman" w:hAnsi="Times New Roman" w:cs="Times New Roman"/>
          <w:sz w:val="24"/>
          <w:szCs w:val="24"/>
          <w:lang w:val="es-VE" w:eastAsia="es-MX"/>
        </w:rPr>
        <w:t>(Dixon-Mueller, 2008).</w:t>
      </w:r>
    </w:p>
    <w:p w14:paraId="423A41F6" w14:textId="0F039379" w:rsidR="00FE497B" w:rsidRPr="004B0884" w:rsidRDefault="00FE497B"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Los adolescentes de ambos géneros pueden ser más o menos aptos para llevar a cabo estas transiciones de manera segura y voluntaria, según factores como el inicio y el progreso de su desarrollo puberal; el avance de sus habilidades cognitivas; y los riesgos y responsabilidades asociados con el inicio sexual, el matrimonio o la convivencia, y la maternidad en diversos contextos. A pesar de que la Convención sobre los Derechos del Niño los clasifica como "niños" (con algunas excepciones), los jóvenes de 15 a 17 años no son considerados niños en otros acuerdos internacionales. Por ejemplo, trabajar a los 15 años (o a los 14 en países de bajos ingresos) no se considera trabajo infantil según el Convenio de 1973 sobre la edad mínima de admisión al empleo de la Oficina Internacional del Trabajo, y en la mayoría de los países en desarrollo, los jóvenes de 15 años ya no se ven obligados a asistir a la escuela. (</w:t>
      </w:r>
      <w:proofErr w:type="spellStart"/>
      <w:r w:rsidRPr="004B0884">
        <w:rPr>
          <w:rFonts w:ascii="Times New Roman" w:hAnsi="Times New Roman" w:cs="Times New Roman"/>
          <w:sz w:val="24"/>
          <w:szCs w:val="24"/>
          <w:lang w:val="es-MX" w:eastAsia="es-MX"/>
        </w:rPr>
        <w:t>Melchiorre</w:t>
      </w:r>
      <w:proofErr w:type="spellEnd"/>
      <w:r w:rsidRPr="004B0884">
        <w:rPr>
          <w:rFonts w:ascii="Times New Roman" w:hAnsi="Times New Roman" w:cs="Times New Roman"/>
          <w:sz w:val="24"/>
          <w:szCs w:val="24"/>
          <w:lang w:val="es-MX" w:eastAsia="es-MX"/>
        </w:rPr>
        <w:t xml:space="preserve"> 2004; UNESCO 2004).</w:t>
      </w:r>
    </w:p>
    <w:p w14:paraId="173D3458" w14:textId="12DB9F0E" w:rsidR="00FE497B" w:rsidRPr="004B0884" w:rsidRDefault="00FE497B"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lastRenderedPageBreak/>
        <w:t>Estas diferencias son significativas en la medida en que algunos adolescentes pueden querer convivir o casarse a esa edad y contar con la madurez cognitiva y social necesaria para ello. En tal caso, calificar todas las uniones en las que uno de los miembros es menor de 18 años como "matrimonios infantiles" y abogar por su erradicación (Warner, 2004) podría ser considerado como una negación de su libertad.</w:t>
      </w:r>
    </w:p>
    <w:p w14:paraId="0E718E5E" w14:textId="1252CA0E" w:rsidR="00FE497B" w:rsidRPr="004B0884" w:rsidRDefault="00FE497B"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La adolescencia media también es un período en el que las jóvenes de algunas culturas experimentan una fuerte presión por parte de sus familias para casarse en matrimonios arreglados. En estas situaciones, es necesario implementar iniciativas que aseguren que las chicas cuenten con la agencia individual y el apoyo legal y social requeridos para rechazar dichos matrimonios o participar activamente en la selección de su pareja, el momento del enlace y las condiciones del acuerdo. A partir de los 18 años, los adolescentes de ambos géneros que se encuentren en un ambiente favorable deberían poseer las habilidades mentales, el conocimiento y las destrezas necesarias para realizar transiciones seguras y voluntarias.</w:t>
      </w:r>
    </w:p>
    <w:p w14:paraId="0D1E310A" w14:textId="06145806" w:rsidR="004B0884" w:rsidRPr="004B0884" w:rsidRDefault="004B0884"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No necesariamente tienen la libertad de hacerlo, y en esa etapa pueden ocurrir violaciones a sus derechos. Sin embargo, es improbable que las transiciones que sucedan a los 18 o 19 años sean problemáticas en sí mismas, aunque en algunos casos puedan implicar costos de oportunidad en términos de educación o empleo.</w:t>
      </w:r>
    </w:p>
    <w:p w14:paraId="25CCB23B" w14:textId="59EF93F4" w:rsidR="00833749" w:rsidRDefault="004B0884"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 xml:space="preserve">La preocupación política en torno a la disminución de la incidencia del "matrimonio temprano" (antes de los 20 años) o de la "fecundidad en la adolescencia" (nacimientos de jóvenes entre 15 y 19 años) (Proyecto del Milenio de la ONU, 2005, p. 150-151) podría ser cuestionable, ya que sería más razonable establecer umbrales por debajo de los 18 años. En la mayoría de los países, las leyes otorgan a los jóvenes de 18 años la capacidad legal para elegir o consentir matrimonio (o relaciones sexuales) por sí mismos. Además, la etapa final de la </w:t>
      </w:r>
      <w:r w:rsidRPr="004B0884">
        <w:rPr>
          <w:rFonts w:ascii="Times New Roman" w:hAnsi="Times New Roman" w:cs="Times New Roman"/>
          <w:sz w:val="24"/>
          <w:szCs w:val="24"/>
          <w:lang w:val="es-MX" w:eastAsia="es-MX"/>
        </w:rPr>
        <w:lastRenderedPageBreak/>
        <w:t>adolescencia puede ser un momento ideal para que ciertos jóvenes contraigan matrimonio y funden una familia.</w:t>
      </w:r>
    </w:p>
    <w:p w14:paraId="570BE39C" w14:textId="59911AB3" w:rsidR="007D7E00" w:rsidRPr="00BD29A6" w:rsidRDefault="0049156D" w:rsidP="00B939F3">
      <w:pPr>
        <w:spacing w:line="480" w:lineRule="auto"/>
        <w:ind w:left="567" w:firstLine="720"/>
        <w:rPr>
          <w:rFonts w:ascii="Times New Roman" w:hAnsi="Times New Roman" w:cs="Times New Roman"/>
          <w:sz w:val="28"/>
          <w:szCs w:val="28"/>
          <w:lang w:val="es-VE" w:eastAsia="es-MX"/>
        </w:rPr>
      </w:pPr>
      <w:r w:rsidRPr="0049156D">
        <w:rPr>
          <w:rFonts w:ascii="Times New Roman" w:hAnsi="Times New Roman" w:cs="Times New Roman"/>
          <w:sz w:val="24"/>
          <w:szCs w:val="24"/>
          <w:lang w:val="en-US"/>
        </w:rPr>
        <w:t xml:space="preserve">Even if older teens may have some influence on the time of marriage or the choice of spouse, particularly if they are educated, such agreements unquestionably violate the rights of younger girls. A girl should face social and legal repercussions if she marries at 14 or younger, especially if the man is substantially older and not the one, she wanted. This is true even if the girl "consents" by remaining silent and obedient. </w:t>
      </w:r>
      <w:r>
        <w:rPr>
          <w:rFonts w:ascii="Times New Roman" w:hAnsi="Times New Roman" w:cs="Times New Roman"/>
          <w:sz w:val="24"/>
          <w:szCs w:val="24"/>
          <w:lang w:val="en-US"/>
        </w:rPr>
        <w:t xml:space="preserve"> </w:t>
      </w:r>
      <w:r w:rsidR="007D7E00" w:rsidRPr="00BD29A6">
        <w:rPr>
          <w:rFonts w:ascii="Times New Roman" w:hAnsi="Times New Roman" w:cs="Times New Roman"/>
          <w:sz w:val="24"/>
          <w:szCs w:val="24"/>
          <w:lang w:val="es-VE"/>
        </w:rPr>
        <w:t>(Dixon-Mueller, 2008).</w:t>
      </w:r>
    </w:p>
    <w:p w14:paraId="31029B27" w14:textId="28C53B6F" w:rsidR="00AD56B1" w:rsidRPr="00674FB8" w:rsidRDefault="004B0884" w:rsidP="00B939F3">
      <w:pPr>
        <w:spacing w:line="480" w:lineRule="auto"/>
        <w:ind w:firstLine="720"/>
        <w:rPr>
          <w:rFonts w:ascii="Times New Roman" w:hAnsi="Times New Roman" w:cs="Times New Roman"/>
          <w:sz w:val="24"/>
          <w:szCs w:val="24"/>
          <w:lang w:val="es-MX" w:eastAsia="es-MX"/>
        </w:rPr>
      </w:pPr>
      <w:r w:rsidRPr="004B0884">
        <w:rPr>
          <w:rFonts w:ascii="Times New Roman" w:hAnsi="Times New Roman" w:cs="Times New Roman"/>
          <w:sz w:val="24"/>
          <w:szCs w:val="24"/>
          <w:lang w:val="es-MX" w:eastAsia="es-MX"/>
        </w:rPr>
        <w:t>La variedad en cuanto a cronograma, características e interconexiones de las transiciones demográficas, sociales, educativas, económicas y residenciales de los adolescentes en diferentes países y dentro de ellos (Bruce y Chong, 2006) requiere un análisis contextual de las habilidades cognitivas específicas y las condiciones favorables que los adolescentes de ambos géneros necesitan durante sus años de adolescencia, y de cómo lograrlas de la mejor manera. Queda claro que los datos deben recolectarse y analizarse según edades precisas o en grupos de edad lo suficientemente pequeños para que los encargados de las políticas, planificadores y proveedores puedan identificar y abordar los problemas que surgen en cada fase del proceso de transición.</w:t>
      </w:r>
    </w:p>
    <w:p w14:paraId="788BA9E2" w14:textId="221CB933" w:rsidR="004B11A2" w:rsidRDefault="004B11A2" w:rsidP="00B939F3">
      <w:pPr>
        <w:spacing w:line="480" w:lineRule="auto"/>
        <w:rPr>
          <w:rFonts w:ascii="Times New Roman" w:eastAsia="Times New Roman" w:hAnsi="Times New Roman" w:cs="Times New Roman"/>
          <w:color w:val="000000"/>
          <w:sz w:val="24"/>
          <w:szCs w:val="24"/>
          <w:lang w:val="es-VE" w:eastAsia="es-MX"/>
        </w:rPr>
      </w:pPr>
      <w:r>
        <w:rPr>
          <w:rFonts w:ascii="Times New Roman" w:eastAsia="Times New Roman" w:hAnsi="Times New Roman" w:cs="Times New Roman"/>
          <w:color w:val="000000"/>
          <w:sz w:val="24"/>
          <w:szCs w:val="24"/>
          <w:lang w:val="es-VE"/>
        </w:rPr>
        <w:br w:type="page"/>
      </w:r>
    </w:p>
    <w:p w14:paraId="42F991B9" w14:textId="77777777" w:rsidR="00AD56B1" w:rsidRPr="00674FB8" w:rsidRDefault="00AD56B1" w:rsidP="00B939F3">
      <w:pPr>
        <w:pStyle w:val="Ttulo1"/>
        <w:spacing w:line="480" w:lineRule="auto"/>
        <w:rPr>
          <w:rFonts w:ascii="Times New Roman" w:eastAsia="Times New Roman" w:hAnsi="Times New Roman" w:cs="Times New Roman"/>
          <w:color w:val="000000"/>
          <w:sz w:val="24"/>
          <w:szCs w:val="24"/>
          <w:lang w:val="es-VE"/>
        </w:rPr>
      </w:pPr>
    </w:p>
    <w:p w14:paraId="03DEB680" w14:textId="77777777" w:rsidR="0063426E" w:rsidRDefault="006B2674" w:rsidP="00B939F3">
      <w:pPr>
        <w:pStyle w:val="Ttulo1"/>
        <w:spacing w:line="480" w:lineRule="auto"/>
        <w:rPr>
          <w:rFonts w:ascii="Times New Roman" w:eastAsia="Times New Roman" w:hAnsi="Times New Roman" w:cs="Times New Roman"/>
          <w:b/>
          <w:color w:val="000000"/>
          <w:sz w:val="28"/>
          <w:szCs w:val="28"/>
        </w:rPr>
      </w:pPr>
      <w:bookmarkStart w:id="32" w:name="_Toc134376654"/>
      <w:r>
        <w:rPr>
          <w:rFonts w:ascii="Times New Roman" w:eastAsia="Times New Roman" w:hAnsi="Times New Roman" w:cs="Times New Roman"/>
          <w:b/>
          <w:color w:val="000000"/>
          <w:sz w:val="28"/>
          <w:szCs w:val="28"/>
        </w:rPr>
        <w:t>CONCLUSIONES</w:t>
      </w:r>
      <w:bookmarkEnd w:id="32"/>
    </w:p>
    <w:p w14:paraId="50AF919C" w14:textId="66363501" w:rsidR="00E54CBF" w:rsidRPr="00E96C17" w:rsidRDefault="00E54CBF" w:rsidP="00B939F3">
      <w:pPr>
        <w:spacing w:line="480" w:lineRule="auto"/>
        <w:rPr>
          <w:rFonts w:ascii="Times New Roman" w:hAnsi="Times New Roman" w:cs="Times New Roman"/>
          <w:sz w:val="24"/>
          <w:szCs w:val="24"/>
        </w:rPr>
      </w:pPr>
      <w:r>
        <w:t xml:space="preserve"> </w:t>
      </w:r>
    </w:p>
    <w:p w14:paraId="6C5B5AD2" w14:textId="601DC5E9" w:rsidR="007C537D" w:rsidRDefault="006B2674"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relaciones </w:t>
      </w:r>
      <w:r w:rsidRPr="00D42234">
        <w:rPr>
          <w:rFonts w:ascii="Times New Roman" w:eastAsia="Times New Roman" w:hAnsi="Times New Roman" w:cs="Times New Roman"/>
          <w:sz w:val="24"/>
          <w:szCs w:val="24"/>
        </w:rPr>
        <w:t>sexuales</w:t>
      </w:r>
      <w:r w:rsidR="009D587B" w:rsidRPr="00D42234">
        <w:rPr>
          <w:rFonts w:ascii="Times New Roman" w:eastAsia="Times New Roman" w:hAnsi="Times New Roman" w:cs="Times New Roman"/>
          <w:sz w:val="24"/>
          <w:szCs w:val="24"/>
        </w:rPr>
        <w:t xml:space="preserve"> </w:t>
      </w:r>
      <w:r w:rsidR="00D42234" w:rsidRPr="00D42234">
        <w:rPr>
          <w:rFonts w:ascii="Times New Roman" w:eastAsia="Times New Roman" w:hAnsi="Times New Roman" w:cs="Times New Roman"/>
          <w:sz w:val="24"/>
          <w:szCs w:val="24"/>
        </w:rPr>
        <w:t>o</w:t>
      </w:r>
      <w:r w:rsidRPr="00D42234">
        <w:rPr>
          <w:rFonts w:ascii="Times New Roman" w:eastAsia="Times New Roman" w:hAnsi="Times New Roman" w:cs="Times New Roman"/>
          <w:sz w:val="24"/>
          <w:szCs w:val="24"/>
        </w:rPr>
        <w:t xml:space="preserve"> actos</w:t>
      </w:r>
      <w:r>
        <w:rPr>
          <w:rFonts w:ascii="Times New Roman" w:eastAsia="Times New Roman" w:hAnsi="Times New Roman" w:cs="Times New Roman"/>
          <w:sz w:val="24"/>
          <w:szCs w:val="24"/>
        </w:rPr>
        <w:t xml:space="preserve"> </w:t>
      </w:r>
      <w:r w:rsidR="002C5BA9">
        <w:rPr>
          <w:rFonts w:ascii="Times New Roman" w:eastAsia="Times New Roman" w:hAnsi="Times New Roman" w:cs="Times New Roman"/>
          <w:sz w:val="24"/>
          <w:szCs w:val="24"/>
        </w:rPr>
        <w:t>sexuales</w:t>
      </w:r>
      <w:r>
        <w:rPr>
          <w:rFonts w:ascii="Times New Roman" w:eastAsia="Times New Roman" w:hAnsi="Times New Roman" w:cs="Times New Roman"/>
          <w:sz w:val="24"/>
          <w:szCs w:val="24"/>
        </w:rPr>
        <w:t xml:space="preserve"> </w:t>
      </w:r>
      <w:r w:rsidR="009D587B">
        <w:rPr>
          <w:rFonts w:ascii="Times New Roman" w:eastAsia="Times New Roman" w:hAnsi="Times New Roman" w:cs="Times New Roman"/>
          <w:sz w:val="24"/>
          <w:szCs w:val="24"/>
        </w:rPr>
        <w:t>de</w:t>
      </w:r>
      <w:r w:rsidR="00C336A5">
        <w:rPr>
          <w:rFonts w:ascii="Times New Roman" w:eastAsia="Times New Roman" w:hAnsi="Times New Roman" w:cs="Times New Roman"/>
          <w:sz w:val="24"/>
          <w:szCs w:val="24"/>
        </w:rPr>
        <w:t xml:space="preserve"> menores </w:t>
      </w:r>
      <w:r w:rsidR="00E54AD9">
        <w:rPr>
          <w:rFonts w:ascii="Times New Roman" w:eastAsia="Times New Roman" w:hAnsi="Times New Roman" w:cs="Times New Roman"/>
          <w:sz w:val="24"/>
          <w:szCs w:val="24"/>
        </w:rPr>
        <w:t>de</w:t>
      </w:r>
      <w:r w:rsidR="00C336A5">
        <w:rPr>
          <w:rFonts w:ascii="Times New Roman" w:eastAsia="Times New Roman" w:hAnsi="Times New Roman" w:cs="Times New Roman"/>
          <w:sz w:val="24"/>
          <w:szCs w:val="24"/>
        </w:rPr>
        <w:t xml:space="preserve"> 14 años</w:t>
      </w:r>
      <w:r w:rsidR="00CB72D7">
        <w:rPr>
          <w:rFonts w:ascii="Times New Roman" w:eastAsia="Times New Roman" w:hAnsi="Times New Roman" w:cs="Times New Roman"/>
          <w:sz w:val="24"/>
          <w:szCs w:val="24"/>
        </w:rPr>
        <w:t xml:space="preserve"> en Colombia</w:t>
      </w:r>
      <w:r w:rsidR="00C336A5">
        <w:rPr>
          <w:rFonts w:ascii="Times New Roman" w:eastAsia="Times New Roman" w:hAnsi="Times New Roman" w:cs="Times New Roman"/>
          <w:sz w:val="24"/>
          <w:szCs w:val="24"/>
        </w:rPr>
        <w:t xml:space="preserve"> </w:t>
      </w:r>
      <w:r w:rsidR="009D587B">
        <w:rPr>
          <w:rFonts w:ascii="Times New Roman" w:eastAsia="Times New Roman" w:hAnsi="Times New Roman" w:cs="Times New Roman"/>
          <w:sz w:val="24"/>
          <w:szCs w:val="24"/>
        </w:rPr>
        <w:t>son considerados delitos</w:t>
      </w:r>
      <w:r w:rsidR="00AA5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5A1B">
        <w:rPr>
          <w:rFonts w:ascii="Times New Roman" w:eastAsia="Times New Roman" w:hAnsi="Times New Roman" w:cs="Times New Roman"/>
          <w:sz w:val="24"/>
          <w:szCs w:val="24"/>
        </w:rPr>
        <w:t xml:space="preserve">los cuales </w:t>
      </w:r>
      <w:r w:rsidR="00686696">
        <w:rPr>
          <w:rFonts w:ascii="Times New Roman" w:eastAsia="Times New Roman" w:hAnsi="Times New Roman" w:cs="Times New Roman"/>
          <w:sz w:val="24"/>
          <w:szCs w:val="24"/>
        </w:rPr>
        <w:t xml:space="preserve">están tipificados </w:t>
      </w:r>
      <w:r w:rsidR="00086265">
        <w:rPr>
          <w:rFonts w:ascii="Times New Roman" w:eastAsia="Times New Roman" w:hAnsi="Times New Roman" w:cs="Times New Roman"/>
          <w:sz w:val="24"/>
          <w:szCs w:val="24"/>
        </w:rPr>
        <w:t xml:space="preserve">en los artículos </w:t>
      </w:r>
      <w:r w:rsidR="0000449C">
        <w:rPr>
          <w:rFonts w:ascii="Times New Roman" w:eastAsia="Times New Roman" w:hAnsi="Times New Roman" w:cs="Times New Roman"/>
          <w:sz w:val="24"/>
          <w:szCs w:val="24"/>
        </w:rPr>
        <w:t>208, 209</w:t>
      </w:r>
      <w:r w:rsidR="00D26B02">
        <w:rPr>
          <w:rFonts w:ascii="Times New Roman" w:eastAsia="Times New Roman" w:hAnsi="Times New Roman" w:cs="Times New Roman"/>
          <w:sz w:val="24"/>
          <w:szCs w:val="24"/>
        </w:rPr>
        <w:t xml:space="preserve"> </w:t>
      </w:r>
      <w:r w:rsidR="0000449C">
        <w:rPr>
          <w:rFonts w:ascii="Times New Roman" w:eastAsia="Times New Roman" w:hAnsi="Times New Roman" w:cs="Times New Roman"/>
          <w:sz w:val="24"/>
          <w:szCs w:val="24"/>
        </w:rPr>
        <w:t>y la agravación punitiva del art</w:t>
      </w:r>
      <w:r w:rsidR="008D19D2">
        <w:rPr>
          <w:rFonts w:ascii="Times New Roman" w:eastAsia="Times New Roman" w:hAnsi="Times New Roman" w:cs="Times New Roman"/>
          <w:sz w:val="24"/>
          <w:szCs w:val="24"/>
        </w:rPr>
        <w:t xml:space="preserve">ículo </w:t>
      </w:r>
      <w:r w:rsidR="0000449C">
        <w:rPr>
          <w:rFonts w:ascii="Times New Roman" w:eastAsia="Times New Roman" w:hAnsi="Times New Roman" w:cs="Times New Roman"/>
          <w:sz w:val="24"/>
          <w:szCs w:val="24"/>
        </w:rPr>
        <w:t>211 del Código Penal, estos</w:t>
      </w:r>
      <w:r w:rsidR="008D2B7C">
        <w:rPr>
          <w:rFonts w:ascii="Times New Roman" w:eastAsia="Times New Roman" w:hAnsi="Times New Roman" w:cs="Times New Roman"/>
          <w:sz w:val="24"/>
          <w:szCs w:val="24"/>
        </w:rPr>
        <w:t xml:space="preserve"> son</w:t>
      </w:r>
      <w:r w:rsidR="00AA5A1B">
        <w:rPr>
          <w:rFonts w:ascii="Times New Roman" w:eastAsia="Times New Roman" w:hAnsi="Times New Roman" w:cs="Times New Roman"/>
          <w:sz w:val="24"/>
          <w:szCs w:val="24"/>
        </w:rPr>
        <w:t xml:space="preserve"> severamente castigados, con penas </w:t>
      </w:r>
      <w:r w:rsidR="008D2B7C">
        <w:rPr>
          <w:rFonts w:ascii="Times New Roman" w:eastAsia="Times New Roman" w:hAnsi="Times New Roman" w:cs="Times New Roman"/>
          <w:sz w:val="24"/>
          <w:szCs w:val="24"/>
        </w:rPr>
        <w:t xml:space="preserve">que oscilan </w:t>
      </w:r>
      <w:r w:rsidR="00AA5A1B">
        <w:rPr>
          <w:rFonts w:ascii="Times New Roman" w:eastAsia="Times New Roman" w:hAnsi="Times New Roman" w:cs="Times New Roman"/>
          <w:sz w:val="24"/>
          <w:szCs w:val="24"/>
        </w:rPr>
        <w:t xml:space="preserve">entre </w:t>
      </w:r>
      <w:r w:rsidR="0000501D">
        <w:rPr>
          <w:rFonts w:ascii="Times New Roman" w:eastAsia="Times New Roman" w:hAnsi="Times New Roman" w:cs="Times New Roman"/>
          <w:sz w:val="24"/>
          <w:szCs w:val="24"/>
        </w:rPr>
        <w:t>8 a 20 años, lo que define el delito, en estos casos en la conducta</w:t>
      </w:r>
      <w:r w:rsidR="00E94A24">
        <w:rPr>
          <w:rFonts w:ascii="Times New Roman" w:eastAsia="Times New Roman" w:hAnsi="Times New Roman" w:cs="Times New Roman"/>
          <w:sz w:val="24"/>
          <w:szCs w:val="24"/>
        </w:rPr>
        <w:t xml:space="preserve"> punible</w:t>
      </w:r>
      <w:r w:rsidR="0000501D">
        <w:rPr>
          <w:rFonts w:ascii="Times New Roman" w:eastAsia="Times New Roman" w:hAnsi="Times New Roman" w:cs="Times New Roman"/>
          <w:sz w:val="24"/>
          <w:szCs w:val="24"/>
        </w:rPr>
        <w:t xml:space="preserve"> y el límite de la edad</w:t>
      </w:r>
      <w:r>
        <w:rPr>
          <w:rFonts w:ascii="Times New Roman" w:eastAsia="Times New Roman" w:hAnsi="Times New Roman" w:cs="Times New Roman"/>
          <w:sz w:val="24"/>
          <w:szCs w:val="24"/>
        </w:rPr>
        <w:t>,</w:t>
      </w:r>
      <w:r w:rsidR="0000501D">
        <w:rPr>
          <w:rFonts w:ascii="Times New Roman" w:eastAsia="Times New Roman" w:hAnsi="Times New Roman" w:cs="Times New Roman"/>
          <w:sz w:val="24"/>
          <w:szCs w:val="24"/>
        </w:rPr>
        <w:t xml:space="preserve"> puesto que </w:t>
      </w:r>
      <w:r w:rsidR="00E94A24">
        <w:rPr>
          <w:rFonts w:ascii="Times New Roman" w:eastAsia="Times New Roman" w:hAnsi="Times New Roman" w:cs="Times New Roman"/>
          <w:sz w:val="24"/>
          <w:szCs w:val="24"/>
        </w:rPr>
        <w:t>el legislador</w:t>
      </w:r>
      <w:r w:rsidR="0000501D">
        <w:rPr>
          <w:rFonts w:ascii="Times New Roman" w:eastAsia="Times New Roman" w:hAnsi="Times New Roman" w:cs="Times New Roman"/>
          <w:sz w:val="24"/>
          <w:szCs w:val="24"/>
        </w:rPr>
        <w:t xml:space="preserve"> estableció que </w:t>
      </w:r>
      <w:r>
        <w:rPr>
          <w:rFonts w:ascii="Times New Roman" w:eastAsia="Times New Roman" w:hAnsi="Times New Roman" w:cs="Times New Roman"/>
          <w:sz w:val="24"/>
          <w:szCs w:val="24"/>
        </w:rPr>
        <w:t xml:space="preserve">los menores </w:t>
      </w:r>
      <w:r w:rsidR="0000501D">
        <w:rPr>
          <w:rFonts w:ascii="Times New Roman" w:eastAsia="Times New Roman" w:hAnsi="Times New Roman" w:cs="Times New Roman"/>
          <w:sz w:val="24"/>
          <w:szCs w:val="24"/>
        </w:rPr>
        <w:t xml:space="preserve">de 14 </w:t>
      </w:r>
      <w:r w:rsidR="00B67506">
        <w:rPr>
          <w:rFonts w:ascii="Times New Roman" w:eastAsia="Times New Roman" w:hAnsi="Times New Roman" w:cs="Times New Roman"/>
          <w:sz w:val="24"/>
          <w:szCs w:val="24"/>
        </w:rPr>
        <w:t>años</w:t>
      </w:r>
      <w:r w:rsidR="00005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tienen capacidad de </w:t>
      </w:r>
      <w:r w:rsidR="00CB72D7">
        <w:rPr>
          <w:rFonts w:ascii="Times New Roman" w:eastAsia="Times New Roman" w:hAnsi="Times New Roman" w:cs="Times New Roman"/>
          <w:sz w:val="24"/>
          <w:szCs w:val="24"/>
        </w:rPr>
        <w:t>autodeterminación sexual</w:t>
      </w:r>
      <w:r w:rsidR="00CA39CC">
        <w:rPr>
          <w:rFonts w:ascii="Times New Roman" w:eastAsia="Times New Roman" w:hAnsi="Times New Roman" w:cs="Times New Roman"/>
          <w:sz w:val="24"/>
          <w:szCs w:val="24"/>
        </w:rPr>
        <w:t xml:space="preserve">, </w:t>
      </w:r>
      <w:r w:rsidR="00CA39CC" w:rsidRPr="00D42234">
        <w:rPr>
          <w:rFonts w:ascii="Times New Roman" w:eastAsia="Times New Roman" w:hAnsi="Times New Roman" w:cs="Times New Roman"/>
          <w:sz w:val="24"/>
          <w:szCs w:val="24"/>
        </w:rPr>
        <w:t xml:space="preserve">lo que se </w:t>
      </w:r>
      <w:r w:rsidR="009B4AF6">
        <w:rPr>
          <w:rFonts w:ascii="Times New Roman" w:eastAsia="Times New Roman" w:hAnsi="Times New Roman" w:cs="Times New Roman"/>
          <w:sz w:val="24"/>
          <w:szCs w:val="24"/>
        </w:rPr>
        <w:t xml:space="preserve">realizó </w:t>
      </w:r>
      <w:r w:rsidR="00CA39CC" w:rsidRPr="00D42234">
        <w:rPr>
          <w:rFonts w:ascii="Times New Roman" w:eastAsia="Times New Roman" w:hAnsi="Times New Roman" w:cs="Times New Roman"/>
          <w:sz w:val="24"/>
          <w:szCs w:val="24"/>
        </w:rPr>
        <w:t xml:space="preserve">en </w:t>
      </w:r>
      <w:r w:rsidR="004E3AA1">
        <w:rPr>
          <w:rFonts w:ascii="Times New Roman" w:eastAsia="Times New Roman" w:hAnsi="Times New Roman" w:cs="Times New Roman"/>
          <w:sz w:val="24"/>
          <w:szCs w:val="24"/>
        </w:rPr>
        <w:t>el presente trabajo</w:t>
      </w:r>
      <w:r w:rsidR="00D42234" w:rsidRPr="00D42234">
        <w:rPr>
          <w:rFonts w:ascii="Times New Roman" w:eastAsia="Times New Roman" w:hAnsi="Times New Roman" w:cs="Times New Roman"/>
          <w:sz w:val="24"/>
          <w:szCs w:val="24"/>
        </w:rPr>
        <w:t>,</w:t>
      </w:r>
      <w:r w:rsidR="00CA39CC" w:rsidRPr="00D42234">
        <w:rPr>
          <w:rFonts w:ascii="Times New Roman" w:eastAsia="Times New Roman" w:hAnsi="Times New Roman" w:cs="Times New Roman"/>
          <w:sz w:val="24"/>
          <w:szCs w:val="24"/>
        </w:rPr>
        <w:t xml:space="preserve"> </w:t>
      </w:r>
      <w:r w:rsidR="009B4AF6">
        <w:rPr>
          <w:rFonts w:ascii="Times New Roman" w:eastAsia="Times New Roman" w:hAnsi="Times New Roman" w:cs="Times New Roman"/>
          <w:sz w:val="24"/>
          <w:szCs w:val="24"/>
        </w:rPr>
        <w:t xml:space="preserve">fue establecer </w:t>
      </w:r>
      <w:r w:rsidR="00CA39CC" w:rsidRPr="00D42234">
        <w:rPr>
          <w:rFonts w:ascii="Times New Roman" w:eastAsia="Times New Roman" w:hAnsi="Times New Roman" w:cs="Times New Roman"/>
          <w:sz w:val="24"/>
          <w:szCs w:val="24"/>
        </w:rPr>
        <w:t>s</w:t>
      </w:r>
      <w:r w:rsidR="009B4AF6">
        <w:rPr>
          <w:rFonts w:ascii="Times New Roman" w:eastAsia="Times New Roman" w:hAnsi="Times New Roman" w:cs="Times New Roman"/>
          <w:sz w:val="24"/>
          <w:szCs w:val="24"/>
        </w:rPr>
        <w:t>í,</w:t>
      </w:r>
      <w:r w:rsidR="00CA39CC" w:rsidRPr="00D42234">
        <w:rPr>
          <w:rFonts w:ascii="Times New Roman" w:eastAsia="Times New Roman" w:hAnsi="Times New Roman" w:cs="Times New Roman"/>
          <w:sz w:val="24"/>
          <w:szCs w:val="24"/>
        </w:rPr>
        <w:t xml:space="preserve"> realmente</w:t>
      </w:r>
      <w:r w:rsidR="00D42234">
        <w:rPr>
          <w:rFonts w:ascii="Times New Roman" w:eastAsia="Times New Roman" w:hAnsi="Times New Roman" w:cs="Times New Roman"/>
          <w:sz w:val="24"/>
          <w:szCs w:val="24"/>
        </w:rPr>
        <w:t xml:space="preserve"> </w:t>
      </w:r>
      <w:r w:rsidR="00CA39CC" w:rsidRPr="00D42234">
        <w:rPr>
          <w:rFonts w:ascii="Times New Roman" w:eastAsia="Times New Roman" w:hAnsi="Times New Roman" w:cs="Times New Roman"/>
          <w:sz w:val="24"/>
          <w:szCs w:val="24"/>
        </w:rPr>
        <w:t xml:space="preserve">estos tipos penales </w:t>
      </w:r>
      <w:r w:rsidR="00D42234">
        <w:rPr>
          <w:rFonts w:ascii="Times New Roman" w:eastAsia="Times New Roman" w:hAnsi="Times New Roman" w:cs="Times New Roman"/>
          <w:sz w:val="24"/>
          <w:szCs w:val="24"/>
        </w:rPr>
        <w:t>protegen</w:t>
      </w:r>
      <w:r w:rsidR="00CA39CC" w:rsidRPr="00D42234">
        <w:rPr>
          <w:rFonts w:ascii="Times New Roman" w:eastAsia="Times New Roman" w:hAnsi="Times New Roman" w:cs="Times New Roman"/>
          <w:sz w:val="24"/>
          <w:szCs w:val="24"/>
        </w:rPr>
        <w:t xml:space="preserve"> de manera integral los derechos a la libertad, integridad y formación sexuales de los adolescentes entre 12 y 14 años</w:t>
      </w:r>
      <w:r w:rsidR="009B4AF6">
        <w:rPr>
          <w:rFonts w:ascii="Times New Roman" w:eastAsia="Times New Roman" w:hAnsi="Times New Roman" w:cs="Times New Roman"/>
          <w:sz w:val="24"/>
          <w:szCs w:val="24"/>
        </w:rPr>
        <w:t>, s</w:t>
      </w:r>
      <w:r w:rsidR="007C537D">
        <w:rPr>
          <w:rFonts w:ascii="Times New Roman" w:eastAsia="Times New Roman" w:hAnsi="Times New Roman" w:cs="Times New Roman"/>
          <w:sz w:val="24"/>
          <w:szCs w:val="24"/>
        </w:rPr>
        <w:t>obre los casos en los que se puede disponer del bien jurídico de la libertad sexual y aquellos en los que no, como es el caso</w:t>
      </w:r>
      <w:r w:rsidR="008D19D2">
        <w:rPr>
          <w:rFonts w:ascii="Times New Roman" w:eastAsia="Times New Roman" w:hAnsi="Times New Roman" w:cs="Times New Roman"/>
          <w:sz w:val="24"/>
          <w:szCs w:val="24"/>
        </w:rPr>
        <w:t xml:space="preserve"> específico</w:t>
      </w:r>
      <w:r w:rsidR="007C537D">
        <w:rPr>
          <w:rFonts w:ascii="Times New Roman" w:eastAsia="Times New Roman" w:hAnsi="Times New Roman" w:cs="Times New Roman"/>
          <w:sz w:val="24"/>
          <w:szCs w:val="24"/>
        </w:rPr>
        <w:t xml:space="preserve"> de los menores de 14 años</w:t>
      </w:r>
      <w:r w:rsidR="008D19D2">
        <w:rPr>
          <w:rFonts w:ascii="Times New Roman" w:eastAsia="Times New Roman" w:hAnsi="Times New Roman" w:cs="Times New Roman"/>
          <w:sz w:val="24"/>
          <w:szCs w:val="24"/>
        </w:rPr>
        <w:t>.</w:t>
      </w:r>
    </w:p>
    <w:p w14:paraId="2B1DFD49" w14:textId="77777777" w:rsidR="005035BA" w:rsidRDefault="008A08BB"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primera medida, s</w:t>
      </w:r>
      <w:r w:rsidR="009B4AF6">
        <w:rPr>
          <w:rFonts w:ascii="Times New Roman" w:eastAsia="Times New Roman" w:hAnsi="Times New Roman" w:cs="Times New Roman"/>
          <w:sz w:val="24"/>
          <w:szCs w:val="24"/>
        </w:rPr>
        <w:t xml:space="preserve">e revisó el trato legal a </w:t>
      </w:r>
      <w:r w:rsidR="00060AC4">
        <w:rPr>
          <w:rFonts w:ascii="Times New Roman" w:eastAsia="Times New Roman" w:hAnsi="Times New Roman" w:cs="Times New Roman"/>
          <w:sz w:val="24"/>
          <w:szCs w:val="24"/>
        </w:rPr>
        <w:t>nivel histórico-normativo</w:t>
      </w:r>
      <w:r w:rsidR="008D19D2">
        <w:rPr>
          <w:rFonts w:ascii="Times New Roman" w:eastAsia="Times New Roman" w:hAnsi="Times New Roman" w:cs="Times New Roman"/>
          <w:sz w:val="24"/>
          <w:szCs w:val="24"/>
        </w:rPr>
        <w:t xml:space="preserve"> en Colombia</w:t>
      </w:r>
      <w:r>
        <w:rPr>
          <w:rFonts w:ascii="Times New Roman" w:eastAsia="Times New Roman" w:hAnsi="Times New Roman" w:cs="Times New Roman"/>
          <w:sz w:val="24"/>
          <w:szCs w:val="24"/>
        </w:rPr>
        <w:t xml:space="preserve"> sobre los delitos sexuales, donde se evidencia la</w:t>
      </w:r>
      <w:r w:rsidR="00060AC4">
        <w:rPr>
          <w:rFonts w:ascii="Times New Roman" w:eastAsia="Times New Roman" w:hAnsi="Times New Roman" w:cs="Times New Roman"/>
          <w:sz w:val="24"/>
          <w:szCs w:val="24"/>
        </w:rPr>
        <w:t xml:space="preserve"> especial relevancia </w:t>
      </w:r>
      <w:r>
        <w:rPr>
          <w:rFonts w:ascii="Times New Roman" w:eastAsia="Times New Roman" w:hAnsi="Times New Roman" w:cs="Times New Roman"/>
          <w:sz w:val="24"/>
          <w:szCs w:val="24"/>
        </w:rPr>
        <w:t xml:space="preserve">que se le ha dado </w:t>
      </w:r>
      <w:r w:rsidR="00060AC4">
        <w:rPr>
          <w:rFonts w:ascii="Times New Roman" w:eastAsia="Times New Roman" w:hAnsi="Times New Roman" w:cs="Times New Roman"/>
          <w:sz w:val="24"/>
          <w:szCs w:val="24"/>
        </w:rPr>
        <w:t>a los delitos sexuales contra menores</w:t>
      </w:r>
      <w:r>
        <w:rPr>
          <w:rFonts w:ascii="Times New Roman" w:eastAsia="Times New Roman" w:hAnsi="Times New Roman" w:cs="Times New Roman"/>
          <w:sz w:val="24"/>
          <w:szCs w:val="24"/>
        </w:rPr>
        <w:t>, para lo cual a nivel legislativo se</w:t>
      </w:r>
      <w:r w:rsidR="00060AC4">
        <w:rPr>
          <w:rFonts w:ascii="Times New Roman" w:eastAsia="Times New Roman" w:hAnsi="Times New Roman" w:cs="Times New Roman"/>
          <w:sz w:val="24"/>
          <w:szCs w:val="24"/>
        </w:rPr>
        <w:t xml:space="preserve"> han </w:t>
      </w:r>
      <w:r w:rsidR="00240793">
        <w:rPr>
          <w:rFonts w:ascii="Times New Roman" w:eastAsia="Times New Roman" w:hAnsi="Times New Roman" w:cs="Times New Roman"/>
          <w:sz w:val="24"/>
          <w:szCs w:val="24"/>
        </w:rPr>
        <w:t xml:space="preserve"> </w:t>
      </w:r>
      <w:r w:rsidR="0049156D">
        <w:rPr>
          <w:rFonts w:ascii="Times New Roman" w:eastAsia="Times New Roman" w:hAnsi="Times New Roman" w:cs="Times New Roman"/>
          <w:sz w:val="24"/>
          <w:szCs w:val="24"/>
        </w:rPr>
        <w:t>adoptado</w:t>
      </w:r>
      <w:r w:rsidR="00240793">
        <w:rPr>
          <w:rFonts w:ascii="Times New Roman" w:eastAsia="Times New Roman" w:hAnsi="Times New Roman" w:cs="Times New Roman"/>
          <w:sz w:val="24"/>
          <w:szCs w:val="24"/>
        </w:rPr>
        <w:t xml:space="preserve"> medidas,</w:t>
      </w:r>
      <w:r w:rsidR="00060AC4">
        <w:rPr>
          <w:rFonts w:ascii="Times New Roman" w:eastAsia="Times New Roman" w:hAnsi="Times New Roman" w:cs="Times New Roman"/>
          <w:sz w:val="24"/>
          <w:szCs w:val="24"/>
        </w:rPr>
        <w:t xml:space="preserve"> </w:t>
      </w:r>
      <w:r w:rsidR="00240793">
        <w:rPr>
          <w:rFonts w:ascii="Times New Roman" w:eastAsia="Times New Roman" w:hAnsi="Times New Roman" w:cs="Times New Roman"/>
          <w:sz w:val="24"/>
          <w:szCs w:val="24"/>
        </w:rPr>
        <w:t xml:space="preserve">como el </w:t>
      </w:r>
      <w:r w:rsidR="00060AC4">
        <w:rPr>
          <w:rFonts w:ascii="Times New Roman" w:eastAsia="Times New Roman" w:hAnsi="Times New Roman" w:cs="Times New Roman"/>
          <w:sz w:val="24"/>
          <w:szCs w:val="24"/>
        </w:rPr>
        <w:t xml:space="preserve">incremento </w:t>
      </w:r>
      <w:r w:rsidR="00240793">
        <w:rPr>
          <w:rFonts w:ascii="Times New Roman" w:eastAsia="Times New Roman" w:hAnsi="Times New Roman" w:cs="Times New Roman"/>
          <w:sz w:val="24"/>
          <w:szCs w:val="24"/>
        </w:rPr>
        <w:t xml:space="preserve">de </w:t>
      </w:r>
      <w:r w:rsidR="00060AC4">
        <w:rPr>
          <w:rFonts w:ascii="Times New Roman" w:eastAsia="Times New Roman" w:hAnsi="Times New Roman" w:cs="Times New Roman"/>
          <w:sz w:val="24"/>
          <w:szCs w:val="24"/>
        </w:rPr>
        <w:t xml:space="preserve">las penas, incluso se buscó a través del Acto legislativo </w:t>
      </w:r>
      <w:r w:rsidR="001B09C8">
        <w:rPr>
          <w:rFonts w:ascii="Times New Roman" w:eastAsia="Times New Roman" w:hAnsi="Times New Roman" w:cs="Times New Roman"/>
          <w:sz w:val="24"/>
          <w:szCs w:val="24"/>
        </w:rPr>
        <w:t xml:space="preserve">01 de 2020 </w:t>
      </w:r>
      <w:r>
        <w:rPr>
          <w:rFonts w:ascii="Times New Roman" w:eastAsia="Times New Roman" w:hAnsi="Times New Roman" w:cs="Times New Roman"/>
          <w:sz w:val="24"/>
          <w:szCs w:val="24"/>
        </w:rPr>
        <w:t xml:space="preserve">imponer </w:t>
      </w:r>
      <w:r w:rsidR="00060AC4">
        <w:rPr>
          <w:rFonts w:ascii="Times New Roman" w:eastAsia="Times New Roman" w:hAnsi="Times New Roman" w:cs="Times New Roman"/>
          <w:sz w:val="24"/>
          <w:szCs w:val="24"/>
        </w:rPr>
        <w:t xml:space="preserve">la cadena perpetua, </w:t>
      </w:r>
      <w:r>
        <w:rPr>
          <w:rFonts w:ascii="Times New Roman" w:eastAsia="Times New Roman" w:hAnsi="Times New Roman" w:cs="Times New Roman"/>
          <w:sz w:val="24"/>
          <w:szCs w:val="24"/>
        </w:rPr>
        <w:t>proyecto que</w:t>
      </w:r>
      <w:r w:rsidR="004E3AA1">
        <w:rPr>
          <w:rFonts w:ascii="Times New Roman" w:eastAsia="Times New Roman" w:hAnsi="Times New Roman" w:cs="Times New Roman"/>
          <w:sz w:val="24"/>
          <w:szCs w:val="24"/>
        </w:rPr>
        <w:t>,</w:t>
      </w:r>
      <w:r w:rsidR="00060AC4">
        <w:rPr>
          <w:rFonts w:ascii="Times New Roman" w:eastAsia="Times New Roman" w:hAnsi="Times New Roman" w:cs="Times New Roman"/>
          <w:sz w:val="24"/>
          <w:szCs w:val="24"/>
        </w:rPr>
        <w:t xml:space="preserve"> no logró </w:t>
      </w:r>
      <w:r>
        <w:rPr>
          <w:rFonts w:ascii="Times New Roman" w:eastAsia="Times New Roman" w:hAnsi="Times New Roman" w:cs="Times New Roman"/>
          <w:sz w:val="24"/>
          <w:szCs w:val="24"/>
        </w:rPr>
        <w:t xml:space="preserve">superar el control de constitucionalidad </w:t>
      </w:r>
      <w:r w:rsidR="00060AC4">
        <w:rPr>
          <w:rFonts w:ascii="Times New Roman" w:eastAsia="Times New Roman" w:hAnsi="Times New Roman" w:cs="Times New Roman"/>
          <w:sz w:val="24"/>
          <w:szCs w:val="24"/>
        </w:rPr>
        <w:t>por considerarse que vulneraba el derecho a la dignidad humana de los victimarios</w:t>
      </w:r>
      <w:r w:rsidR="00240793">
        <w:rPr>
          <w:rFonts w:ascii="Times New Roman" w:eastAsia="Times New Roman" w:hAnsi="Times New Roman" w:cs="Times New Roman"/>
          <w:sz w:val="24"/>
          <w:szCs w:val="24"/>
        </w:rPr>
        <w:t>. Esto, como factor importante para determinar que la pena como sanción social, debe</w:t>
      </w:r>
      <w:r w:rsidR="00C13612">
        <w:rPr>
          <w:rFonts w:ascii="Times New Roman" w:eastAsia="Times New Roman" w:hAnsi="Times New Roman" w:cs="Times New Roman"/>
          <w:sz w:val="24"/>
          <w:szCs w:val="24"/>
        </w:rPr>
        <w:t xml:space="preserve"> ser proporcional al bien jurídico tutelado que se pretende proteger</w:t>
      </w:r>
      <w:r w:rsidR="00240793">
        <w:rPr>
          <w:rFonts w:ascii="Times New Roman" w:eastAsia="Times New Roman" w:hAnsi="Times New Roman" w:cs="Times New Roman"/>
          <w:sz w:val="24"/>
          <w:szCs w:val="24"/>
        </w:rPr>
        <w:t xml:space="preserve"> y no puede excederse por el hecho de que socialmente este tipo delitos sean repudiados y se demande al Estado penas más </w:t>
      </w:r>
      <w:r w:rsidR="00240793">
        <w:rPr>
          <w:rFonts w:ascii="Times New Roman" w:eastAsia="Times New Roman" w:hAnsi="Times New Roman" w:cs="Times New Roman"/>
          <w:sz w:val="24"/>
          <w:szCs w:val="24"/>
        </w:rPr>
        <w:lastRenderedPageBreak/>
        <w:t>severas</w:t>
      </w:r>
      <w:r w:rsidR="00C13612">
        <w:rPr>
          <w:rFonts w:ascii="Times New Roman" w:eastAsia="Times New Roman" w:hAnsi="Times New Roman" w:cs="Times New Roman"/>
          <w:sz w:val="24"/>
          <w:szCs w:val="24"/>
        </w:rPr>
        <w:t xml:space="preserve">, </w:t>
      </w:r>
      <w:r w:rsidR="00060AC4">
        <w:rPr>
          <w:rFonts w:ascii="Times New Roman" w:eastAsia="Times New Roman" w:hAnsi="Times New Roman" w:cs="Times New Roman"/>
          <w:sz w:val="24"/>
          <w:szCs w:val="24"/>
        </w:rPr>
        <w:t xml:space="preserve">con la bandera de que los niños no se tocan y su vida e integridad </w:t>
      </w:r>
      <w:r w:rsidR="00240793">
        <w:rPr>
          <w:rFonts w:ascii="Times New Roman" w:eastAsia="Times New Roman" w:hAnsi="Times New Roman" w:cs="Times New Roman"/>
          <w:sz w:val="24"/>
          <w:szCs w:val="24"/>
        </w:rPr>
        <w:t xml:space="preserve">no debe ser transgredida de ningún modo. </w:t>
      </w:r>
    </w:p>
    <w:p w14:paraId="6489A37D" w14:textId="50857673" w:rsidR="00DC224C" w:rsidRDefault="00240793"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En esta búsqueda de  protección, se ha colocado la barrera de la edad para la autodeterminación sexual, descalificando la posibilidad de validar los actos o relaciones sexuales consentidas por parte de los menores entre 12 y 14 años</w:t>
      </w:r>
      <w:r w:rsidR="00060AC4" w:rsidRPr="00060AC4">
        <w:rPr>
          <w:rFonts w:ascii="Times New Roman" w:eastAsia="Times New Roman" w:hAnsi="Times New Roman" w:cs="Times New Roman"/>
          <w:sz w:val="24"/>
          <w:szCs w:val="24"/>
        </w:rPr>
        <w:t xml:space="preserve">, delitos para los cuales existe la presunción de derecho </w:t>
      </w:r>
      <w:r w:rsidR="00060AC4" w:rsidRPr="00060AC4">
        <w:rPr>
          <w:rFonts w:ascii="Times New Roman" w:eastAsia="Times New Roman" w:hAnsi="Times New Roman" w:cs="Times New Roman"/>
          <w:i/>
          <w:iCs/>
          <w:sz w:val="24"/>
          <w:szCs w:val="24"/>
        </w:rPr>
        <w:t>iure et de iure</w:t>
      </w:r>
      <w:r w:rsidR="00060AC4" w:rsidRPr="00060AC4">
        <w:rPr>
          <w:rFonts w:ascii="Times New Roman" w:eastAsia="Times New Roman" w:hAnsi="Times New Roman" w:cs="Times New Roman"/>
          <w:sz w:val="24"/>
          <w:szCs w:val="24"/>
        </w:rPr>
        <w:t>, que no admite prueba en contrario</w:t>
      </w:r>
      <w:r w:rsidR="00DC224C">
        <w:rPr>
          <w:rFonts w:ascii="Times New Roman" w:eastAsia="Times New Roman" w:hAnsi="Times New Roman" w:cs="Times New Roman"/>
          <w:sz w:val="24"/>
          <w:szCs w:val="24"/>
        </w:rPr>
        <w:t>, ante lo cual cualquier situación donde se realice la conducta bajo el umbral de esta edad, donde se manifieste o se demuestre la libertad de decidir de los menores, no es estudiada, no es permitida y no jurídicamente relevante en ningún tipo de actuación judicial o administrativa.</w:t>
      </w:r>
    </w:p>
    <w:p w14:paraId="30BB6C76" w14:textId="015EE8BC" w:rsidR="00DC224C" w:rsidRDefault="00DC224C"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Colombia los niños, niñas y adolescentes están protegidos </w:t>
      </w:r>
      <w:r w:rsidRPr="00DE1312">
        <w:rPr>
          <w:rFonts w:ascii="Times New Roman" w:eastAsia="Times New Roman" w:hAnsi="Times New Roman" w:cs="Times New Roman"/>
          <w:sz w:val="24"/>
          <w:szCs w:val="24"/>
        </w:rPr>
        <w:t>contra</w:t>
      </w:r>
      <w:r>
        <w:rPr>
          <w:rFonts w:ascii="Times New Roman" w:eastAsia="Times New Roman" w:hAnsi="Times New Roman" w:cs="Times New Roman"/>
          <w:sz w:val="24"/>
          <w:szCs w:val="24"/>
        </w:rPr>
        <w:t xml:space="preserve"> los delitos sexuales por la legislación</w:t>
      </w:r>
      <w:r w:rsidRPr="00DC22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principalmente por Ley 1098 de 2006, modificada por la Ley 1878 de 2018, que es el Código de la Infancia y la Adolescencia, las normas de rango constitucional como el artículo 44 de la Constitución Política de 1991 y los instrumentos internacionales como son los diferentes Convenios y tratados internacionales que protegen sus derechos, el principal Convenio es el de los Derechos del niño, el Protocolo Facultativo de la Convención de los Derechos del Niño y la Convención Interamericana sobre Tráfico Internacional de Menores que establece la protección contra la explotación sexual infantil, la pornografía y el tráfico internacional de menores.</w:t>
      </w:r>
    </w:p>
    <w:p w14:paraId="213CB2BA" w14:textId="1694FF46" w:rsidR="00DC224C" w:rsidRDefault="00DC224C"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el artículo 44 de la Constitución Política de 1991 menciona la protección contra toda forma de violencia física o moral y el abuso sexual, mientras que el Código de la Infancia y Adolescencia no solo enuncia los derechos fundamentales de los niños, niñas y adolescentes a ser protegidos por la familia, la sociedad y el Estado contra las violencias </w:t>
      </w:r>
      <w:r>
        <w:rPr>
          <w:rFonts w:ascii="Times New Roman" w:eastAsia="Times New Roman" w:hAnsi="Times New Roman" w:cs="Times New Roman"/>
          <w:sz w:val="24"/>
          <w:szCs w:val="24"/>
        </w:rPr>
        <w:lastRenderedPageBreak/>
        <w:t>sexuales, sino que en su artículo 9 enuncia el interés superior del menor</w:t>
      </w:r>
      <w:r w:rsidR="00490D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principio rector de todas las actuaciones judiciales o administrativas, ya que se deben respetar, atender y proteger los derechos de los niños, niñas y adolescentes de manera prevalente e integral, y es en este punto donde surge la pregunta:  ¿Acaso al momento de judicializar los delitos en los que los o las adolescentes entre 12 y 14 años han decidido explorar el sexo o iniciar su vida sexual de manera libre y voluntaria </w:t>
      </w:r>
      <w:r w:rsidRPr="00DE1312">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muestra como un respeto a su autonomía y sus derechos? </w:t>
      </w:r>
    </w:p>
    <w:p w14:paraId="669E6E93" w14:textId="62E202C8" w:rsidR="005B6474" w:rsidRDefault="00DC224C"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537D">
        <w:rPr>
          <w:rFonts w:ascii="Times New Roman" w:eastAsia="Times New Roman" w:hAnsi="Times New Roman" w:cs="Times New Roman"/>
          <w:sz w:val="24"/>
          <w:szCs w:val="24"/>
        </w:rPr>
        <w:t xml:space="preserve">Las definiciones simples de la libertad sexual incluyen la libertad de utilizar el propio cuerpo por razones sexuales o sensuales como se desee, lo que incluye realizar o abstenerse de cualquier comportamiento que satisfaga al individuo dentro de ese círculo. Esta definición establece dos elementos, el primero de los cuales es </w:t>
      </w:r>
      <w:r w:rsidR="007C537D" w:rsidRPr="00DC224C">
        <w:rPr>
          <w:rFonts w:ascii="Times New Roman" w:eastAsia="Times New Roman" w:hAnsi="Times New Roman" w:cs="Times New Roman"/>
          <w:sz w:val="24"/>
          <w:szCs w:val="24"/>
        </w:rPr>
        <w:t>la dinámica positiva y el segundo la estática pasiva, permitiendo inferir que la punibilidad de los actos dependerá entonces de un elemento subjetiv</w:t>
      </w:r>
      <w:r w:rsidR="007C537D">
        <w:rPr>
          <w:rFonts w:ascii="Times New Roman" w:eastAsia="Times New Roman" w:hAnsi="Times New Roman" w:cs="Times New Roman"/>
          <w:sz w:val="24"/>
          <w:szCs w:val="24"/>
        </w:rPr>
        <w:t xml:space="preserve">o que se manifiesta, ya sea con la aceptación del acto o con el rechazo </w:t>
      </w:r>
      <w:r w:rsidR="0049156D">
        <w:rPr>
          <w:rFonts w:ascii="Times New Roman" w:eastAsia="Times New Roman" w:hAnsi="Times New Roman" w:cs="Times New Roman"/>
          <w:sz w:val="24"/>
          <w:szCs w:val="24"/>
        </w:rPr>
        <w:t>de este</w:t>
      </w:r>
      <w:r w:rsidR="007C537D">
        <w:rPr>
          <w:rFonts w:ascii="Times New Roman" w:eastAsia="Times New Roman" w:hAnsi="Times New Roman" w:cs="Times New Roman"/>
          <w:sz w:val="24"/>
          <w:szCs w:val="24"/>
        </w:rPr>
        <w:t>.</w:t>
      </w:r>
      <w:r w:rsidR="005B6474" w:rsidRPr="005B6474">
        <w:rPr>
          <w:rFonts w:ascii="Times New Roman" w:eastAsia="Times New Roman" w:hAnsi="Times New Roman" w:cs="Times New Roman"/>
          <w:sz w:val="24"/>
          <w:szCs w:val="24"/>
        </w:rPr>
        <w:t xml:space="preserve"> </w:t>
      </w:r>
    </w:p>
    <w:p w14:paraId="77ECE2EC" w14:textId="77777777" w:rsidR="00DC224C" w:rsidRDefault="005B6474"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224C">
        <w:rPr>
          <w:rFonts w:ascii="Times New Roman" w:eastAsia="Times New Roman" w:hAnsi="Times New Roman" w:cs="Times New Roman"/>
          <w:sz w:val="24"/>
          <w:szCs w:val="24"/>
        </w:rPr>
        <w:t xml:space="preserve">          </w:t>
      </w:r>
    </w:p>
    <w:p w14:paraId="1759F8F4" w14:textId="4B61C74E" w:rsidR="007C537D" w:rsidRDefault="00DC224C"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6474">
        <w:rPr>
          <w:rFonts w:ascii="Times New Roman" w:eastAsia="Times New Roman" w:hAnsi="Times New Roman" w:cs="Times New Roman"/>
          <w:sz w:val="24"/>
          <w:szCs w:val="24"/>
        </w:rPr>
        <w:t>En cuanto al bien jurídico tutelado, se puede decir que la evolución normativa se ha acercado más a la doctrina en el entendido de que todos los tipos penales que surgen para defender la libertad sexual están en consonancia con los fines de un mismo bien jurídico, y ese valor del bien jurídico está en consonancia con lo que indica el tipo penal, permitiendo la creación de una protección materialmente efectiva.</w:t>
      </w:r>
      <w:r>
        <w:rPr>
          <w:rFonts w:ascii="Times New Roman" w:eastAsia="Times New Roman" w:hAnsi="Times New Roman" w:cs="Times New Roman"/>
          <w:sz w:val="24"/>
          <w:szCs w:val="24"/>
        </w:rPr>
        <w:t xml:space="preserve"> </w:t>
      </w:r>
      <w:r w:rsidR="007C537D">
        <w:rPr>
          <w:rFonts w:ascii="Times New Roman" w:eastAsia="Times New Roman" w:hAnsi="Times New Roman" w:cs="Times New Roman"/>
          <w:sz w:val="24"/>
          <w:szCs w:val="24"/>
        </w:rPr>
        <w:t xml:space="preserve">La restricción legal en cuanto a la edad del sujeto pasivo es muy importante, en la medida en que permita proteger los derechos de los menores y salvaguardarlos para que pueda desarrollarse hasta una etapa de madurez </w:t>
      </w:r>
      <w:r w:rsidR="007C537D">
        <w:rPr>
          <w:rFonts w:ascii="Times New Roman" w:eastAsia="Times New Roman" w:hAnsi="Times New Roman" w:cs="Times New Roman"/>
          <w:sz w:val="24"/>
          <w:szCs w:val="24"/>
        </w:rPr>
        <w:lastRenderedPageBreak/>
        <w:t>psicológica y física</w:t>
      </w:r>
      <w:r w:rsidR="0092357C">
        <w:rPr>
          <w:rFonts w:ascii="Times New Roman" w:eastAsia="Times New Roman" w:hAnsi="Times New Roman" w:cs="Times New Roman"/>
          <w:sz w:val="24"/>
          <w:szCs w:val="24"/>
        </w:rPr>
        <w:t>,</w:t>
      </w:r>
      <w:r w:rsidR="007C537D">
        <w:rPr>
          <w:rFonts w:ascii="Times New Roman" w:eastAsia="Times New Roman" w:hAnsi="Times New Roman" w:cs="Times New Roman"/>
          <w:sz w:val="24"/>
          <w:szCs w:val="24"/>
        </w:rPr>
        <w:t xml:space="preserve"> en la que sea</w:t>
      </w:r>
      <w:r w:rsidR="0092357C">
        <w:rPr>
          <w:rFonts w:ascii="Times New Roman" w:eastAsia="Times New Roman" w:hAnsi="Times New Roman" w:cs="Times New Roman"/>
          <w:sz w:val="24"/>
          <w:szCs w:val="24"/>
        </w:rPr>
        <w:t>n</w:t>
      </w:r>
      <w:r w:rsidR="007C537D">
        <w:rPr>
          <w:rFonts w:ascii="Times New Roman" w:eastAsia="Times New Roman" w:hAnsi="Times New Roman" w:cs="Times New Roman"/>
          <w:sz w:val="24"/>
          <w:szCs w:val="24"/>
        </w:rPr>
        <w:t xml:space="preserve"> capa</w:t>
      </w:r>
      <w:r w:rsidR="0092357C">
        <w:rPr>
          <w:rFonts w:ascii="Times New Roman" w:eastAsia="Times New Roman" w:hAnsi="Times New Roman" w:cs="Times New Roman"/>
          <w:sz w:val="24"/>
          <w:szCs w:val="24"/>
        </w:rPr>
        <w:t>ces</w:t>
      </w:r>
      <w:r w:rsidR="007C537D">
        <w:rPr>
          <w:rFonts w:ascii="Times New Roman" w:eastAsia="Times New Roman" w:hAnsi="Times New Roman" w:cs="Times New Roman"/>
          <w:sz w:val="24"/>
          <w:szCs w:val="24"/>
        </w:rPr>
        <w:t xml:space="preserve"> de tomar decisiones educadas y libres sobre su orientación y desarrollo sexual, y en la medida en que se judicialicen severamente los delitos sexuales en los que se produce una conducta violenta, manipuladora, inescrupulosa, y coercitiva frente a la víctima. </w:t>
      </w:r>
    </w:p>
    <w:p w14:paraId="71B05F69" w14:textId="40E05B16" w:rsidR="007C537D" w:rsidRDefault="007C537D"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cuando media el consentimiento libre, como se ha expuesto a lo largo del presente </w:t>
      </w:r>
      <w:r w:rsidR="00DC224C">
        <w:rPr>
          <w:rFonts w:ascii="Times New Roman" w:eastAsia="Times New Roman" w:hAnsi="Times New Roman" w:cs="Times New Roman"/>
          <w:sz w:val="24"/>
          <w:szCs w:val="24"/>
        </w:rPr>
        <w:t>trabajo</w:t>
      </w:r>
      <w:r>
        <w:rPr>
          <w:rFonts w:ascii="Times New Roman" w:eastAsia="Times New Roman" w:hAnsi="Times New Roman" w:cs="Times New Roman"/>
          <w:sz w:val="24"/>
          <w:szCs w:val="24"/>
        </w:rPr>
        <w:t xml:space="preserve">, es un aspecto que se debe tener en cuenta para la total materialización de los derechos a la integridad, libertad y formación sexuales de los o las adolescentes entre 12 y 14 años, </w:t>
      </w:r>
      <w:r w:rsidR="003104D6">
        <w:rPr>
          <w:rFonts w:ascii="Times New Roman" w:eastAsia="Times New Roman" w:hAnsi="Times New Roman" w:cs="Times New Roman"/>
          <w:sz w:val="24"/>
          <w:szCs w:val="24"/>
        </w:rPr>
        <w:t xml:space="preserve">edad en la que ya se considera adolescentes en Colombia, </w:t>
      </w:r>
      <w:r>
        <w:rPr>
          <w:rFonts w:ascii="Times New Roman" w:eastAsia="Times New Roman" w:hAnsi="Times New Roman" w:cs="Times New Roman"/>
          <w:sz w:val="24"/>
          <w:szCs w:val="24"/>
        </w:rPr>
        <w:t xml:space="preserve">ya que, así, se podrían tener en cuenta sus decisiones y autonomía sobre su propio cuerpo, además del deseo de explorar la sexualidad, sus sentimientos, </w:t>
      </w:r>
      <w:r w:rsidR="008D19D2">
        <w:rPr>
          <w:rFonts w:ascii="Times New Roman" w:eastAsia="Times New Roman" w:hAnsi="Times New Roman" w:cs="Times New Roman"/>
          <w:sz w:val="24"/>
          <w:szCs w:val="24"/>
        </w:rPr>
        <w:t xml:space="preserve">sus reacciones físicas y hormonales, </w:t>
      </w:r>
      <w:r>
        <w:rPr>
          <w:rFonts w:ascii="Times New Roman" w:eastAsia="Times New Roman" w:hAnsi="Times New Roman" w:cs="Times New Roman"/>
          <w:sz w:val="24"/>
          <w:szCs w:val="24"/>
        </w:rPr>
        <w:t xml:space="preserve">entre otros aspectos, que son situaciones particulares que, deben ser sometidas a debate probatorio con los requisitos de ley, </w:t>
      </w:r>
      <w:r w:rsidR="00DC224C">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los procesos penales que se adelanten por esta causa y de esta manera garantizar la efectiva protección de sus derechos constitucionales y el interés superior del menor que debe respetarse en todas y cada una de las actuaciones judiciales y administrativas.</w:t>
      </w:r>
    </w:p>
    <w:p w14:paraId="7E08A082" w14:textId="12896759" w:rsidR="007C537D" w:rsidRPr="0019333A" w:rsidRDefault="007C537D" w:rsidP="00B939F3">
      <w:pPr>
        <w:shd w:val="clear" w:color="auto" w:fill="FFFFFF"/>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 en el marco de estos procesos, muchas veces no se logra el objetivo de protección integral, ya que las o los adolescentes entre 12 y 14 años que conviven o están vinculados (as) sentimentalmente con sus presuntos agresores, insisten en continuar con estas relaciones sexuales consentidas y se niegan a recibir ayuda psicosocial o alejarse</w:t>
      </w:r>
      <w:r w:rsidR="009325AA">
        <w:rPr>
          <w:rFonts w:ascii="Times New Roman" w:eastAsia="Times New Roman" w:hAnsi="Times New Roman" w:cs="Times New Roman"/>
          <w:sz w:val="24"/>
          <w:szCs w:val="24"/>
        </w:rPr>
        <w:t xml:space="preserve"> del victimario</w:t>
      </w:r>
      <w:r>
        <w:rPr>
          <w:rFonts w:ascii="Times New Roman" w:eastAsia="Times New Roman" w:hAnsi="Times New Roman" w:cs="Times New Roman"/>
          <w:sz w:val="24"/>
          <w:szCs w:val="24"/>
        </w:rPr>
        <w:t xml:space="preserve">, pese a las advertencias legales que les puedan inculcar por parte de las autoridades, en algunos casos las adolescentes conviven con los presuntos agresores y sus menores hijos, derivados de esta unión. </w:t>
      </w:r>
    </w:p>
    <w:p w14:paraId="66EB0AF2" w14:textId="77777777" w:rsidR="00044A23" w:rsidRDefault="0081409F"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 bien es cierto que, legalmente antes de los 14 años, los niños, niñas y adolescentes se encuentran blindados </w:t>
      </w:r>
      <w:r w:rsidR="00DC224C">
        <w:rPr>
          <w:rFonts w:ascii="Times New Roman" w:eastAsia="Times New Roman" w:hAnsi="Times New Roman" w:cs="Times New Roman"/>
          <w:sz w:val="24"/>
          <w:szCs w:val="24"/>
        </w:rPr>
        <w:t>contra</w:t>
      </w:r>
      <w:r>
        <w:rPr>
          <w:rFonts w:ascii="Times New Roman" w:eastAsia="Times New Roman" w:hAnsi="Times New Roman" w:cs="Times New Roman"/>
          <w:sz w:val="24"/>
          <w:szCs w:val="24"/>
        </w:rPr>
        <w:t xml:space="preserve"> estos actos, pues se presume la inmadurez no solo física, sino psicológica para adoptar este tipo de decisiones, </w:t>
      </w:r>
      <w:r w:rsidR="00DC224C" w:rsidRPr="00DC224C">
        <w:rPr>
          <w:rFonts w:ascii="Times New Roman" w:eastAsia="Times New Roman" w:hAnsi="Times New Roman" w:cs="Times New Roman"/>
          <w:sz w:val="24"/>
          <w:szCs w:val="24"/>
        </w:rPr>
        <w:t>¿</w:t>
      </w:r>
      <w:r w:rsidRPr="00DC224C">
        <w:rPr>
          <w:rFonts w:ascii="Times New Roman" w:eastAsia="Times New Roman" w:hAnsi="Times New Roman" w:cs="Times New Roman"/>
          <w:sz w:val="24"/>
          <w:szCs w:val="24"/>
        </w:rPr>
        <w:t>pero es esto cierto</w:t>
      </w:r>
      <w:r w:rsidR="00DC224C" w:rsidRPr="00DC224C">
        <w:rPr>
          <w:rFonts w:ascii="Times New Roman" w:eastAsia="Times New Roman" w:hAnsi="Times New Roman" w:cs="Times New Roman"/>
          <w:sz w:val="24"/>
          <w:szCs w:val="24"/>
        </w:rPr>
        <w:t>?</w:t>
      </w:r>
      <w:r w:rsidRPr="00DC22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¿hay estudios científicos que lo demuestren?</w:t>
      </w:r>
      <w:r w:rsidR="00BF050E">
        <w:rPr>
          <w:rFonts w:ascii="Times New Roman" w:eastAsia="Times New Roman" w:hAnsi="Times New Roman" w:cs="Times New Roman"/>
          <w:sz w:val="24"/>
          <w:szCs w:val="24"/>
        </w:rPr>
        <w:t>, para responder esa pregunta e</w:t>
      </w:r>
      <w:r>
        <w:rPr>
          <w:rFonts w:ascii="Times New Roman" w:eastAsia="Times New Roman" w:hAnsi="Times New Roman" w:cs="Times New Roman"/>
          <w:sz w:val="24"/>
          <w:szCs w:val="24"/>
        </w:rPr>
        <w:t>n el presente trabajo se realiz</w:t>
      </w:r>
      <w:r w:rsidR="00BF050E">
        <w:rPr>
          <w:rFonts w:ascii="Times New Roman" w:eastAsia="Times New Roman" w:hAnsi="Times New Roman" w:cs="Times New Roman"/>
          <w:sz w:val="24"/>
          <w:szCs w:val="24"/>
        </w:rPr>
        <w:t>ó un estudio detallado de la sentencia T-142 de la Corte Constitucional que</w:t>
      </w:r>
      <w:r w:rsidR="00DC224C">
        <w:rPr>
          <w:rFonts w:ascii="Times New Roman" w:eastAsia="Times New Roman" w:hAnsi="Times New Roman" w:cs="Times New Roman"/>
          <w:sz w:val="24"/>
          <w:szCs w:val="24"/>
        </w:rPr>
        <w:t>,</w:t>
      </w:r>
      <w:r w:rsidR="00BF050E">
        <w:rPr>
          <w:rFonts w:ascii="Times New Roman" w:eastAsia="Times New Roman" w:hAnsi="Times New Roman" w:cs="Times New Roman"/>
          <w:sz w:val="24"/>
          <w:szCs w:val="24"/>
        </w:rPr>
        <w:t xml:space="preserve"> precisamente figura como único antecedente jurisprudencial </w:t>
      </w:r>
      <w:r w:rsidR="009325AA">
        <w:rPr>
          <w:rFonts w:ascii="Times New Roman" w:eastAsia="Times New Roman" w:hAnsi="Times New Roman" w:cs="Times New Roman"/>
          <w:sz w:val="24"/>
          <w:szCs w:val="24"/>
        </w:rPr>
        <w:t xml:space="preserve">en Colombia, </w:t>
      </w:r>
      <w:r w:rsidR="00BF050E">
        <w:rPr>
          <w:rFonts w:ascii="Times New Roman" w:eastAsia="Times New Roman" w:hAnsi="Times New Roman" w:cs="Times New Roman"/>
          <w:sz w:val="24"/>
          <w:szCs w:val="24"/>
        </w:rPr>
        <w:t xml:space="preserve">que revisa </w:t>
      </w:r>
      <w:r w:rsidR="009325AA">
        <w:rPr>
          <w:rFonts w:ascii="Times New Roman" w:eastAsia="Times New Roman" w:hAnsi="Times New Roman" w:cs="Times New Roman"/>
          <w:sz w:val="24"/>
          <w:szCs w:val="24"/>
        </w:rPr>
        <w:t xml:space="preserve">y analiza </w:t>
      </w:r>
      <w:r w:rsidR="00DC224C">
        <w:rPr>
          <w:rFonts w:ascii="Times New Roman" w:eastAsia="Times New Roman" w:hAnsi="Times New Roman" w:cs="Times New Roman"/>
          <w:sz w:val="24"/>
          <w:szCs w:val="24"/>
        </w:rPr>
        <w:t xml:space="preserve">más de cerca </w:t>
      </w:r>
      <w:r w:rsidR="00BF050E">
        <w:rPr>
          <w:rFonts w:ascii="Times New Roman" w:eastAsia="Times New Roman" w:hAnsi="Times New Roman" w:cs="Times New Roman"/>
          <w:sz w:val="24"/>
          <w:szCs w:val="24"/>
        </w:rPr>
        <w:t xml:space="preserve">el </w:t>
      </w:r>
      <w:r w:rsidR="00DC224C">
        <w:rPr>
          <w:rFonts w:ascii="Times New Roman" w:eastAsia="Times New Roman" w:hAnsi="Times New Roman" w:cs="Times New Roman"/>
          <w:sz w:val="24"/>
          <w:szCs w:val="24"/>
        </w:rPr>
        <w:t>consentimiento</w:t>
      </w:r>
      <w:r w:rsidR="00BF050E">
        <w:rPr>
          <w:rFonts w:ascii="Times New Roman" w:eastAsia="Times New Roman" w:hAnsi="Times New Roman" w:cs="Times New Roman"/>
          <w:sz w:val="24"/>
          <w:szCs w:val="24"/>
        </w:rPr>
        <w:t>, el cual surgió de</w:t>
      </w:r>
      <w:r w:rsidR="009325AA">
        <w:rPr>
          <w:rFonts w:ascii="Times New Roman" w:eastAsia="Times New Roman" w:hAnsi="Times New Roman" w:cs="Times New Roman"/>
          <w:sz w:val="24"/>
          <w:szCs w:val="24"/>
        </w:rPr>
        <w:t>l estudio de</w:t>
      </w:r>
      <w:r w:rsidR="00BF050E">
        <w:rPr>
          <w:rFonts w:ascii="Times New Roman" w:eastAsia="Times New Roman" w:hAnsi="Times New Roman" w:cs="Times New Roman"/>
          <w:sz w:val="24"/>
          <w:szCs w:val="24"/>
        </w:rPr>
        <w:t xml:space="preserve"> un caso</w:t>
      </w:r>
      <w:r w:rsidR="009325AA">
        <w:rPr>
          <w:rFonts w:ascii="Times New Roman" w:eastAsia="Times New Roman" w:hAnsi="Times New Roman" w:cs="Times New Roman"/>
          <w:sz w:val="24"/>
          <w:szCs w:val="24"/>
        </w:rPr>
        <w:t>,</w:t>
      </w:r>
      <w:r w:rsidR="00BF050E">
        <w:rPr>
          <w:rFonts w:ascii="Times New Roman" w:eastAsia="Times New Roman" w:hAnsi="Times New Roman" w:cs="Times New Roman"/>
          <w:sz w:val="24"/>
          <w:szCs w:val="24"/>
        </w:rPr>
        <w:t xml:space="preserve"> de un adolescente que sostuvo relaciones sexuales consentidas con otra menor de 14 años, </w:t>
      </w:r>
      <w:r w:rsidR="003654FF">
        <w:rPr>
          <w:rFonts w:ascii="Times New Roman" w:eastAsia="Times New Roman" w:hAnsi="Times New Roman" w:cs="Times New Roman"/>
          <w:sz w:val="24"/>
          <w:szCs w:val="24"/>
        </w:rPr>
        <w:t xml:space="preserve">de </w:t>
      </w:r>
      <w:r w:rsidR="00BF050E">
        <w:rPr>
          <w:rFonts w:ascii="Times New Roman" w:eastAsia="Times New Roman" w:hAnsi="Times New Roman" w:cs="Times New Roman"/>
          <w:sz w:val="24"/>
          <w:szCs w:val="24"/>
        </w:rPr>
        <w:t xml:space="preserve">quien sus representantes legales no deseaban que se </w:t>
      </w:r>
      <w:r w:rsidR="00BF050E" w:rsidRPr="00DE1312">
        <w:rPr>
          <w:rFonts w:ascii="Times New Roman" w:eastAsia="Times New Roman" w:hAnsi="Times New Roman" w:cs="Times New Roman"/>
          <w:sz w:val="24"/>
          <w:szCs w:val="24"/>
        </w:rPr>
        <w:t>investigar</w:t>
      </w:r>
      <w:r w:rsidR="00DE1312" w:rsidRPr="00DE1312">
        <w:rPr>
          <w:rFonts w:ascii="Times New Roman" w:eastAsia="Times New Roman" w:hAnsi="Times New Roman" w:cs="Times New Roman"/>
          <w:sz w:val="24"/>
          <w:szCs w:val="24"/>
        </w:rPr>
        <w:t>a</w:t>
      </w:r>
      <w:r w:rsidR="00BF050E">
        <w:rPr>
          <w:rFonts w:ascii="Times New Roman" w:eastAsia="Times New Roman" w:hAnsi="Times New Roman" w:cs="Times New Roman"/>
          <w:sz w:val="24"/>
          <w:szCs w:val="24"/>
        </w:rPr>
        <w:t xml:space="preserve"> al presunto victimario</w:t>
      </w:r>
      <w:r w:rsidR="00044A23">
        <w:rPr>
          <w:rFonts w:ascii="Times New Roman" w:eastAsia="Times New Roman" w:hAnsi="Times New Roman" w:cs="Times New Roman"/>
          <w:sz w:val="24"/>
          <w:szCs w:val="24"/>
        </w:rPr>
        <w:t>.</w:t>
      </w:r>
    </w:p>
    <w:p w14:paraId="2239B6E8" w14:textId="144CDD7B" w:rsidR="00194F98" w:rsidRDefault="00044A23"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BF050E">
        <w:rPr>
          <w:rFonts w:ascii="Times New Roman" w:eastAsia="Times New Roman" w:hAnsi="Times New Roman" w:cs="Times New Roman"/>
          <w:sz w:val="24"/>
          <w:szCs w:val="24"/>
        </w:rPr>
        <w:t xml:space="preserve">a Corte </w:t>
      </w:r>
      <w:r w:rsidR="009325AA">
        <w:rPr>
          <w:rFonts w:ascii="Times New Roman" w:eastAsia="Times New Roman" w:hAnsi="Times New Roman" w:cs="Times New Roman"/>
          <w:sz w:val="24"/>
          <w:szCs w:val="24"/>
        </w:rPr>
        <w:t xml:space="preserve">Constitucional </w:t>
      </w:r>
      <w:r w:rsidR="00BF050E">
        <w:rPr>
          <w:rFonts w:ascii="Times New Roman" w:eastAsia="Times New Roman" w:hAnsi="Times New Roman" w:cs="Times New Roman"/>
          <w:sz w:val="24"/>
          <w:szCs w:val="24"/>
        </w:rPr>
        <w:t>para lograr entender la voluntad del legislador pero también el alcance de la norma frente a la edad que determina la madurez psicológica que permita emitir la autodeterminación sexual</w:t>
      </w:r>
      <w:r w:rsidR="008D19D2">
        <w:rPr>
          <w:rFonts w:ascii="Times New Roman" w:eastAsia="Times New Roman" w:hAnsi="Times New Roman" w:cs="Times New Roman"/>
          <w:sz w:val="24"/>
          <w:szCs w:val="24"/>
        </w:rPr>
        <w:t>,</w:t>
      </w:r>
      <w:r w:rsidR="00BF050E">
        <w:rPr>
          <w:rFonts w:ascii="Times New Roman" w:eastAsia="Times New Roman" w:hAnsi="Times New Roman" w:cs="Times New Roman"/>
          <w:sz w:val="24"/>
          <w:szCs w:val="24"/>
        </w:rPr>
        <w:t xml:space="preserve"> solicitó información</w:t>
      </w:r>
      <w:r w:rsidR="003654FF">
        <w:rPr>
          <w:rFonts w:ascii="Times New Roman" w:eastAsia="Times New Roman" w:hAnsi="Times New Roman" w:cs="Times New Roman"/>
          <w:sz w:val="24"/>
          <w:szCs w:val="24"/>
        </w:rPr>
        <w:t xml:space="preserve"> ampliada</w:t>
      </w:r>
      <w:r w:rsidR="00BF050E">
        <w:rPr>
          <w:rFonts w:ascii="Times New Roman" w:eastAsia="Times New Roman" w:hAnsi="Times New Roman" w:cs="Times New Roman"/>
          <w:sz w:val="24"/>
          <w:szCs w:val="24"/>
        </w:rPr>
        <w:t xml:space="preserve"> </w:t>
      </w:r>
      <w:r w:rsidR="003654FF">
        <w:rPr>
          <w:rFonts w:ascii="Times New Roman" w:eastAsia="Times New Roman" w:hAnsi="Times New Roman" w:cs="Times New Roman"/>
          <w:sz w:val="24"/>
          <w:szCs w:val="24"/>
        </w:rPr>
        <w:t xml:space="preserve">sobre la autodeterminación sexual y </w:t>
      </w:r>
      <w:r w:rsidR="00A55070">
        <w:rPr>
          <w:rFonts w:ascii="Times New Roman" w:eastAsia="Times New Roman" w:hAnsi="Times New Roman" w:cs="Times New Roman"/>
          <w:sz w:val="24"/>
          <w:szCs w:val="24"/>
        </w:rPr>
        <w:t>más específicamente s</w:t>
      </w:r>
      <w:r w:rsidR="003654FF">
        <w:rPr>
          <w:rFonts w:ascii="Times New Roman" w:eastAsia="Times New Roman" w:hAnsi="Times New Roman" w:cs="Times New Roman"/>
          <w:sz w:val="24"/>
          <w:szCs w:val="24"/>
        </w:rPr>
        <w:t xml:space="preserve">i los 14 años eran una edad </w:t>
      </w:r>
      <w:r w:rsidR="009325AA">
        <w:rPr>
          <w:rFonts w:ascii="Times New Roman" w:eastAsia="Times New Roman" w:hAnsi="Times New Roman" w:cs="Times New Roman"/>
          <w:sz w:val="24"/>
          <w:szCs w:val="24"/>
        </w:rPr>
        <w:t xml:space="preserve">concreta </w:t>
      </w:r>
      <w:r w:rsidR="003654FF">
        <w:rPr>
          <w:rFonts w:ascii="Times New Roman" w:eastAsia="Times New Roman" w:hAnsi="Times New Roman" w:cs="Times New Roman"/>
          <w:sz w:val="24"/>
          <w:szCs w:val="24"/>
        </w:rPr>
        <w:t xml:space="preserve">para decidir a nivel sexual </w:t>
      </w:r>
      <w:r w:rsidR="00BF050E">
        <w:rPr>
          <w:rFonts w:ascii="Times New Roman" w:eastAsia="Times New Roman" w:hAnsi="Times New Roman" w:cs="Times New Roman"/>
          <w:sz w:val="24"/>
          <w:szCs w:val="24"/>
        </w:rPr>
        <w:t xml:space="preserve">y </w:t>
      </w:r>
      <w:r w:rsidR="003654FF">
        <w:rPr>
          <w:rFonts w:ascii="Times New Roman" w:eastAsia="Times New Roman" w:hAnsi="Times New Roman" w:cs="Times New Roman"/>
          <w:sz w:val="24"/>
          <w:szCs w:val="24"/>
        </w:rPr>
        <w:t>solicitó el</w:t>
      </w:r>
      <w:r w:rsidR="00BF050E">
        <w:rPr>
          <w:rFonts w:ascii="Times New Roman" w:eastAsia="Times New Roman" w:hAnsi="Times New Roman" w:cs="Times New Roman"/>
          <w:sz w:val="24"/>
          <w:szCs w:val="24"/>
        </w:rPr>
        <w:t xml:space="preserve"> concepto </w:t>
      </w:r>
      <w:r w:rsidR="00B23249">
        <w:rPr>
          <w:rFonts w:ascii="Times New Roman" w:eastAsia="Times New Roman" w:hAnsi="Times New Roman" w:cs="Times New Roman"/>
          <w:sz w:val="24"/>
          <w:szCs w:val="24"/>
        </w:rPr>
        <w:t>a las facultades de psicología de</w:t>
      </w:r>
      <w:r w:rsidR="00443BB3">
        <w:rPr>
          <w:rFonts w:ascii="Times New Roman" w:eastAsia="Times New Roman" w:hAnsi="Times New Roman" w:cs="Times New Roman"/>
          <w:sz w:val="24"/>
          <w:szCs w:val="24"/>
        </w:rPr>
        <w:t xml:space="preserve"> diferentes Universidades, como la Universidad Externado, EAFIT</w:t>
      </w:r>
      <w:r w:rsidR="0037579F">
        <w:rPr>
          <w:rFonts w:ascii="Times New Roman" w:eastAsia="Times New Roman" w:hAnsi="Times New Roman" w:cs="Times New Roman"/>
          <w:sz w:val="24"/>
          <w:szCs w:val="24"/>
        </w:rPr>
        <w:t>, L</w:t>
      </w:r>
      <w:r w:rsidR="00931AE1">
        <w:rPr>
          <w:rFonts w:ascii="Times New Roman" w:eastAsia="Times New Roman" w:hAnsi="Times New Roman" w:cs="Times New Roman"/>
          <w:sz w:val="24"/>
          <w:szCs w:val="24"/>
        </w:rPr>
        <w:t>a Sabana y Los Andes</w:t>
      </w:r>
      <w:r w:rsidR="008D19D2">
        <w:rPr>
          <w:rFonts w:ascii="Times New Roman" w:eastAsia="Times New Roman" w:hAnsi="Times New Roman" w:cs="Times New Roman"/>
          <w:sz w:val="24"/>
          <w:szCs w:val="24"/>
        </w:rPr>
        <w:t xml:space="preserve"> y al I</w:t>
      </w:r>
      <w:r w:rsidR="00A55070">
        <w:rPr>
          <w:rFonts w:ascii="Times New Roman" w:eastAsia="Times New Roman" w:hAnsi="Times New Roman" w:cs="Times New Roman"/>
          <w:sz w:val="24"/>
          <w:szCs w:val="24"/>
        </w:rPr>
        <w:t>nstituto Colombiano de Bienestar Familiar -I</w:t>
      </w:r>
      <w:r w:rsidR="008D19D2">
        <w:rPr>
          <w:rFonts w:ascii="Times New Roman" w:eastAsia="Times New Roman" w:hAnsi="Times New Roman" w:cs="Times New Roman"/>
          <w:sz w:val="24"/>
          <w:szCs w:val="24"/>
        </w:rPr>
        <w:t>CBF</w:t>
      </w:r>
      <w:r w:rsidR="00931AE1">
        <w:rPr>
          <w:rFonts w:ascii="Times New Roman" w:eastAsia="Times New Roman" w:hAnsi="Times New Roman" w:cs="Times New Roman"/>
          <w:sz w:val="24"/>
          <w:szCs w:val="24"/>
        </w:rPr>
        <w:t xml:space="preserve">, </w:t>
      </w:r>
      <w:r w:rsidR="00440739">
        <w:rPr>
          <w:rFonts w:ascii="Times New Roman" w:eastAsia="Times New Roman" w:hAnsi="Times New Roman" w:cs="Times New Roman"/>
          <w:sz w:val="24"/>
          <w:szCs w:val="24"/>
        </w:rPr>
        <w:t>las cuales</w:t>
      </w:r>
      <w:r w:rsidR="00931AE1">
        <w:rPr>
          <w:rFonts w:ascii="Times New Roman" w:eastAsia="Times New Roman" w:hAnsi="Times New Roman" w:cs="Times New Roman"/>
          <w:sz w:val="24"/>
          <w:szCs w:val="24"/>
        </w:rPr>
        <w:t xml:space="preserve"> </w:t>
      </w:r>
      <w:r w:rsidR="00BF050E">
        <w:rPr>
          <w:rFonts w:ascii="Times New Roman" w:eastAsia="Times New Roman" w:hAnsi="Times New Roman" w:cs="Times New Roman"/>
          <w:sz w:val="24"/>
          <w:szCs w:val="24"/>
        </w:rPr>
        <w:t>conceptuaron de manera unánime</w:t>
      </w:r>
      <w:r w:rsidR="00931AE1">
        <w:rPr>
          <w:rFonts w:ascii="Times New Roman" w:eastAsia="Times New Roman" w:hAnsi="Times New Roman" w:cs="Times New Roman"/>
          <w:sz w:val="24"/>
          <w:szCs w:val="24"/>
        </w:rPr>
        <w:t xml:space="preserve"> que</w:t>
      </w:r>
      <w:r w:rsidR="00BF050E">
        <w:rPr>
          <w:rFonts w:ascii="Times New Roman" w:eastAsia="Times New Roman" w:hAnsi="Times New Roman" w:cs="Times New Roman"/>
          <w:sz w:val="24"/>
          <w:szCs w:val="24"/>
        </w:rPr>
        <w:t>,</w:t>
      </w:r>
      <w:r w:rsidR="00931AE1">
        <w:rPr>
          <w:rFonts w:ascii="Times New Roman" w:eastAsia="Times New Roman" w:hAnsi="Times New Roman" w:cs="Times New Roman"/>
          <w:sz w:val="24"/>
          <w:szCs w:val="24"/>
        </w:rPr>
        <w:t xml:space="preserve"> si bien existen cambios biológicos durante la pubertad</w:t>
      </w:r>
      <w:r w:rsidR="006D5972">
        <w:rPr>
          <w:rFonts w:ascii="Times New Roman" w:eastAsia="Times New Roman" w:hAnsi="Times New Roman" w:cs="Times New Roman"/>
          <w:sz w:val="24"/>
          <w:szCs w:val="24"/>
        </w:rPr>
        <w:t>, la edad cronológica no es un indicador de la madure</w:t>
      </w:r>
      <w:r w:rsidR="009637DB">
        <w:rPr>
          <w:rFonts w:ascii="Times New Roman" w:eastAsia="Times New Roman" w:hAnsi="Times New Roman" w:cs="Times New Roman"/>
          <w:sz w:val="24"/>
          <w:szCs w:val="24"/>
        </w:rPr>
        <w:t>z biológica y del nivel de desarrollo cognitivo o emocional del individuo, que la edad no determina la capacidad de</w:t>
      </w:r>
      <w:r w:rsidR="001B7278">
        <w:rPr>
          <w:rFonts w:ascii="Times New Roman" w:eastAsia="Times New Roman" w:hAnsi="Times New Roman" w:cs="Times New Roman"/>
          <w:sz w:val="24"/>
          <w:szCs w:val="24"/>
        </w:rPr>
        <w:t xml:space="preserve"> decidir, pues inciden diferentes factores de carácter biopsicosocial, como el contexto social, la educación, crianza, relacionamiento con pares y hasta religiosos</w:t>
      </w:r>
      <w:r w:rsidR="00BF050E">
        <w:rPr>
          <w:rFonts w:ascii="Times New Roman" w:eastAsia="Times New Roman" w:hAnsi="Times New Roman" w:cs="Times New Roman"/>
          <w:sz w:val="24"/>
          <w:szCs w:val="24"/>
        </w:rPr>
        <w:t xml:space="preserve">. Coinciden algunas </w:t>
      </w:r>
      <w:r w:rsidR="003654FF">
        <w:rPr>
          <w:rFonts w:ascii="Times New Roman" w:eastAsia="Times New Roman" w:hAnsi="Times New Roman" w:cs="Times New Roman"/>
          <w:sz w:val="24"/>
          <w:szCs w:val="24"/>
        </w:rPr>
        <w:t xml:space="preserve">Universidades, </w:t>
      </w:r>
      <w:r w:rsidR="00BF050E">
        <w:rPr>
          <w:rFonts w:ascii="Times New Roman" w:eastAsia="Times New Roman" w:hAnsi="Times New Roman" w:cs="Times New Roman"/>
          <w:sz w:val="24"/>
          <w:szCs w:val="24"/>
        </w:rPr>
        <w:t>en que la etapa de la menarquía en las mujeres y de desarrollo hormonal en los hombre</w:t>
      </w:r>
      <w:r w:rsidR="007C537D">
        <w:rPr>
          <w:rFonts w:ascii="Times New Roman" w:eastAsia="Times New Roman" w:hAnsi="Times New Roman" w:cs="Times New Roman"/>
          <w:sz w:val="24"/>
          <w:szCs w:val="24"/>
        </w:rPr>
        <w:t>s</w:t>
      </w:r>
      <w:r w:rsidR="00BF050E">
        <w:rPr>
          <w:rFonts w:ascii="Times New Roman" w:eastAsia="Times New Roman" w:hAnsi="Times New Roman" w:cs="Times New Roman"/>
          <w:sz w:val="24"/>
          <w:szCs w:val="24"/>
        </w:rPr>
        <w:t xml:space="preserve"> pueden incidir en el deseo de experimentar actividades de carácter sexual</w:t>
      </w:r>
      <w:r w:rsidR="003857BF">
        <w:rPr>
          <w:rFonts w:ascii="Times New Roman" w:eastAsia="Times New Roman" w:hAnsi="Times New Roman" w:cs="Times New Roman"/>
          <w:sz w:val="24"/>
          <w:szCs w:val="24"/>
        </w:rPr>
        <w:t xml:space="preserve"> de manera temprana</w:t>
      </w:r>
      <w:r w:rsidR="001B7278">
        <w:rPr>
          <w:rFonts w:ascii="Times New Roman" w:eastAsia="Times New Roman" w:hAnsi="Times New Roman" w:cs="Times New Roman"/>
          <w:sz w:val="24"/>
          <w:szCs w:val="24"/>
        </w:rPr>
        <w:t>.</w:t>
      </w:r>
      <w:r w:rsidR="00194F98">
        <w:rPr>
          <w:rFonts w:ascii="Times New Roman" w:eastAsia="Times New Roman" w:hAnsi="Times New Roman" w:cs="Times New Roman"/>
          <w:sz w:val="24"/>
          <w:szCs w:val="24"/>
        </w:rPr>
        <w:t xml:space="preserve"> </w:t>
      </w:r>
    </w:p>
    <w:p w14:paraId="2B4815F2" w14:textId="5DDB724B" w:rsidR="005A473E" w:rsidRDefault="005A473E"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otro, la Corte Constitucional </w:t>
      </w:r>
      <w:r w:rsidR="008203BD">
        <w:rPr>
          <w:rFonts w:ascii="Times New Roman" w:eastAsia="Times New Roman" w:hAnsi="Times New Roman" w:cs="Times New Roman"/>
          <w:sz w:val="24"/>
          <w:szCs w:val="24"/>
        </w:rPr>
        <w:t>valida c</w:t>
      </w:r>
      <w:r w:rsidR="00517EED">
        <w:rPr>
          <w:rFonts w:ascii="Times New Roman" w:eastAsia="Times New Roman" w:hAnsi="Times New Roman" w:cs="Times New Roman"/>
          <w:sz w:val="24"/>
          <w:szCs w:val="24"/>
        </w:rPr>
        <w:t>o</w:t>
      </w:r>
      <w:r w:rsidR="008203BD">
        <w:rPr>
          <w:rFonts w:ascii="Times New Roman" w:eastAsia="Times New Roman" w:hAnsi="Times New Roman" w:cs="Times New Roman"/>
          <w:sz w:val="24"/>
          <w:szCs w:val="24"/>
        </w:rPr>
        <w:t xml:space="preserve">mo la particularidad de los casos, donde medie el consentimiento, que pueden analizar la Fiscalía </w:t>
      </w:r>
      <w:r w:rsidR="00517EED">
        <w:rPr>
          <w:rFonts w:ascii="Times New Roman" w:eastAsia="Times New Roman" w:hAnsi="Times New Roman" w:cs="Times New Roman"/>
          <w:sz w:val="24"/>
          <w:szCs w:val="24"/>
        </w:rPr>
        <w:t xml:space="preserve">General de la Nación </w:t>
      </w:r>
      <w:r w:rsidR="008203BD">
        <w:rPr>
          <w:rFonts w:ascii="Times New Roman" w:eastAsia="Times New Roman" w:hAnsi="Times New Roman" w:cs="Times New Roman"/>
          <w:sz w:val="24"/>
          <w:szCs w:val="24"/>
        </w:rPr>
        <w:t>para solicitar la aplicación del principio de oportunidad, respetando el interés superior del menor en los procesos del Sistema de Responsabilidad Penal para Adolescentes, reconociendo no solo los derechos de las víctimas, sino de los victimarios, comprendiendo la evolución psicológica y la capacidad de decidir en determinados contextos.</w:t>
      </w:r>
    </w:p>
    <w:p w14:paraId="03DEB689" w14:textId="7905C2E5" w:rsidR="0063426E" w:rsidRDefault="001B7278" w:rsidP="00B939F3">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En igual sentido, los estudios realizados por Beatriz Luna</w:t>
      </w:r>
      <w:r w:rsidR="00335199">
        <w:rPr>
          <w:rFonts w:ascii="Times New Roman" w:eastAsia="Times New Roman" w:hAnsi="Times New Roman" w:cs="Times New Roman"/>
          <w:sz w:val="24"/>
          <w:szCs w:val="24"/>
        </w:rPr>
        <w:t xml:space="preserve"> </w:t>
      </w:r>
      <w:r w:rsidR="004B3C09">
        <w:rPr>
          <w:rFonts w:ascii="Times New Roman" w:eastAsia="Times New Roman" w:hAnsi="Times New Roman" w:cs="Times New Roman"/>
          <w:sz w:val="24"/>
          <w:szCs w:val="24"/>
        </w:rPr>
        <w:t>Psicóloga</w:t>
      </w:r>
      <w:r w:rsidR="00335199">
        <w:rPr>
          <w:rFonts w:ascii="Times New Roman" w:eastAsia="Times New Roman" w:hAnsi="Times New Roman" w:cs="Times New Roman"/>
          <w:sz w:val="24"/>
          <w:szCs w:val="24"/>
        </w:rPr>
        <w:t xml:space="preserve"> </w:t>
      </w:r>
      <w:r w:rsidR="003575C0">
        <w:rPr>
          <w:rFonts w:ascii="Times New Roman" w:eastAsia="Times New Roman" w:hAnsi="Times New Roman" w:cs="Times New Roman"/>
          <w:sz w:val="24"/>
          <w:szCs w:val="24"/>
        </w:rPr>
        <w:t xml:space="preserve">profesora en psiquiatría  y psicología </w:t>
      </w:r>
      <w:r w:rsidR="00335199">
        <w:rPr>
          <w:rFonts w:ascii="Times New Roman" w:eastAsia="Times New Roman" w:hAnsi="Times New Roman" w:cs="Times New Roman"/>
          <w:sz w:val="24"/>
          <w:szCs w:val="24"/>
        </w:rPr>
        <w:t xml:space="preserve">de la Universidad de </w:t>
      </w:r>
      <w:r w:rsidR="00B067A5">
        <w:rPr>
          <w:rFonts w:ascii="Times New Roman" w:eastAsia="Times New Roman" w:hAnsi="Times New Roman" w:cs="Times New Roman"/>
          <w:sz w:val="24"/>
          <w:szCs w:val="24"/>
        </w:rPr>
        <w:t>Pittsburgh</w:t>
      </w:r>
      <w:r w:rsidR="006B2674">
        <w:rPr>
          <w:rFonts w:ascii="Times New Roman" w:eastAsia="Times New Roman" w:hAnsi="Times New Roman" w:cs="Times New Roman"/>
          <w:sz w:val="24"/>
          <w:szCs w:val="24"/>
        </w:rPr>
        <w:t xml:space="preserve">, </w:t>
      </w:r>
      <w:r w:rsidR="003654FF">
        <w:rPr>
          <w:rFonts w:ascii="Times New Roman" w:eastAsia="Times New Roman" w:hAnsi="Times New Roman" w:cs="Times New Roman"/>
          <w:sz w:val="24"/>
          <w:szCs w:val="24"/>
        </w:rPr>
        <w:t xml:space="preserve">que fueron tratados en el último capítulo, </w:t>
      </w:r>
      <w:r w:rsidR="00B067A5">
        <w:rPr>
          <w:rFonts w:ascii="Times New Roman" w:eastAsia="Times New Roman" w:hAnsi="Times New Roman" w:cs="Times New Roman"/>
          <w:sz w:val="24"/>
          <w:szCs w:val="24"/>
        </w:rPr>
        <w:t xml:space="preserve">hace referencia a los cambios </w:t>
      </w:r>
      <w:r w:rsidR="00407D60">
        <w:rPr>
          <w:rFonts w:ascii="Times New Roman" w:eastAsia="Times New Roman" w:hAnsi="Times New Roman" w:cs="Times New Roman"/>
          <w:sz w:val="24"/>
          <w:szCs w:val="24"/>
        </w:rPr>
        <w:t>biológicos</w:t>
      </w:r>
      <w:r w:rsidR="00B067A5">
        <w:rPr>
          <w:rFonts w:ascii="Times New Roman" w:eastAsia="Times New Roman" w:hAnsi="Times New Roman" w:cs="Times New Roman"/>
          <w:sz w:val="24"/>
          <w:szCs w:val="24"/>
        </w:rPr>
        <w:t xml:space="preserve"> y neuronales que ocurren durante la infancia y la ado</w:t>
      </w:r>
      <w:r w:rsidR="00407D60">
        <w:rPr>
          <w:rFonts w:ascii="Times New Roman" w:eastAsia="Times New Roman" w:hAnsi="Times New Roman" w:cs="Times New Roman"/>
          <w:sz w:val="24"/>
          <w:szCs w:val="24"/>
        </w:rPr>
        <w:t>les</w:t>
      </w:r>
      <w:r w:rsidR="00B067A5">
        <w:rPr>
          <w:rFonts w:ascii="Times New Roman" w:eastAsia="Times New Roman" w:hAnsi="Times New Roman" w:cs="Times New Roman"/>
          <w:sz w:val="24"/>
          <w:szCs w:val="24"/>
        </w:rPr>
        <w:t xml:space="preserve">cencia, </w:t>
      </w:r>
      <w:r w:rsidR="003654FF">
        <w:rPr>
          <w:rFonts w:ascii="Times New Roman" w:eastAsia="Times New Roman" w:hAnsi="Times New Roman" w:cs="Times New Roman"/>
          <w:sz w:val="24"/>
          <w:szCs w:val="24"/>
        </w:rPr>
        <w:t xml:space="preserve">su estudio realiza </w:t>
      </w:r>
      <w:r w:rsidR="00B067A5">
        <w:rPr>
          <w:rFonts w:ascii="Times New Roman" w:eastAsia="Times New Roman" w:hAnsi="Times New Roman" w:cs="Times New Roman"/>
          <w:sz w:val="24"/>
          <w:szCs w:val="24"/>
        </w:rPr>
        <w:t>un comparativo entre hombres y mujeres, encontrando ciertas diferencias</w:t>
      </w:r>
      <w:r w:rsidR="00865F87">
        <w:rPr>
          <w:rFonts w:ascii="Times New Roman" w:eastAsia="Times New Roman" w:hAnsi="Times New Roman" w:cs="Times New Roman"/>
          <w:sz w:val="24"/>
          <w:szCs w:val="24"/>
        </w:rPr>
        <w:t xml:space="preserve"> fisiológicas </w:t>
      </w:r>
      <w:r w:rsidR="00194F98">
        <w:rPr>
          <w:rFonts w:ascii="Times New Roman" w:eastAsia="Times New Roman" w:hAnsi="Times New Roman" w:cs="Times New Roman"/>
          <w:sz w:val="24"/>
          <w:szCs w:val="24"/>
        </w:rPr>
        <w:t xml:space="preserve">más aceleradas </w:t>
      </w:r>
      <w:r w:rsidR="00865F87">
        <w:rPr>
          <w:rFonts w:ascii="Times New Roman" w:eastAsia="Times New Roman" w:hAnsi="Times New Roman" w:cs="Times New Roman"/>
          <w:sz w:val="24"/>
          <w:szCs w:val="24"/>
        </w:rPr>
        <w:t>frente a las mujeres</w:t>
      </w:r>
      <w:r w:rsidR="00404CC3">
        <w:rPr>
          <w:rFonts w:ascii="Times New Roman" w:eastAsia="Times New Roman" w:hAnsi="Times New Roman" w:cs="Times New Roman"/>
          <w:sz w:val="24"/>
          <w:szCs w:val="24"/>
        </w:rPr>
        <w:t xml:space="preserve">, demostrando que existen una regulación voluntaria/cognitiva del comportamiento </w:t>
      </w:r>
      <w:r w:rsidR="006C6EDD">
        <w:rPr>
          <w:rFonts w:ascii="Times New Roman" w:eastAsia="Times New Roman" w:hAnsi="Times New Roman" w:cs="Times New Roman"/>
          <w:sz w:val="24"/>
          <w:szCs w:val="24"/>
        </w:rPr>
        <w:t>que aumenta en el transcurso de la adolescencia</w:t>
      </w:r>
      <w:r w:rsidR="00571F1D">
        <w:rPr>
          <w:rFonts w:ascii="Times New Roman" w:eastAsia="Times New Roman" w:hAnsi="Times New Roman" w:cs="Times New Roman"/>
          <w:sz w:val="24"/>
          <w:szCs w:val="24"/>
        </w:rPr>
        <w:t>, aclarando que el desarrollo co</w:t>
      </w:r>
      <w:r w:rsidR="00407D60">
        <w:rPr>
          <w:rFonts w:ascii="Times New Roman" w:eastAsia="Times New Roman" w:hAnsi="Times New Roman" w:cs="Times New Roman"/>
          <w:sz w:val="24"/>
          <w:szCs w:val="24"/>
        </w:rPr>
        <w:t>gnitivo</w:t>
      </w:r>
      <w:r w:rsidR="00571F1D">
        <w:rPr>
          <w:rFonts w:ascii="Times New Roman" w:eastAsia="Times New Roman" w:hAnsi="Times New Roman" w:cs="Times New Roman"/>
          <w:sz w:val="24"/>
          <w:szCs w:val="24"/>
        </w:rPr>
        <w:t xml:space="preserve"> frente al sexo en neutro y no establece un rango de edad para </w:t>
      </w:r>
      <w:r w:rsidR="00194F98">
        <w:rPr>
          <w:rFonts w:ascii="Times New Roman" w:eastAsia="Times New Roman" w:hAnsi="Times New Roman" w:cs="Times New Roman"/>
          <w:sz w:val="24"/>
          <w:szCs w:val="24"/>
        </w:rPr>
        <w:t xml:space="preserve">determinar </w:t>
      </w:r>
      <w:r w:rsidR="00571F1D">
        <w:rPr>
          <w:rFonts w:ascii="Times New Roman" w:eastAsia="Times New Roman" w:hAnsi="Times New Roman" w:cs="Times New Roman"/>
          <w:sz w:val="24"/>
          <w:szCs w:val="24"/>
        </w:rPr>
        <w:t>la capacidad de autodeterminación</w:t>
      </w:r>
      <w:r w:rsidR="00194F98">
        <w:rPr>
          <w:rFonts w:ascii="Times New Roman" w:eastAsia="Times New Roman" w:hAnsi="Times New Roman" w:cs="Times New Roman"/>
          <w:sz w:val="24"/>
          <w:szCs w:val="24"/>
        </w:rPr>
        <w:t xml:space="preserve"> sexual</w:t>
      </w:r>
      <w:r w:rsidR="00571F1D">
        <w:rPr>
          <w:rFonts w:ascii="Times New Roman" w:eastAsia="Times New Roman" w:hAnsi="Times New Roman" w:cs="Times New Roman"/>
          <w:sz w:val="24"/>
          <w:szCs w:val="24"/>
        </w:rPr>
        <w:t>, puesto que describe la etapa de la adolescencia como una etapa compleja</w:t>
      </w:r>
      <w:r w:rsidR="00407D60">
        <w:rPr>
          <w:rFonts w:ascii="Times New Roman" w:eastAsia="Times New Roman" w:hAnsi="Times New Roman" w:cs="Times New Roman"/>
          <w:sz w:val="24"/>
          <w:szCs w:val="24"/>
        </w:rPr>
        <w:t xml:space="preserve">, que requiere del acompañamiento de padres y </w:t>
      </w:r>
      <w:r w:rsidR="009D6158">
        <w:rPr>
          <w:rFonts w:ascii="Times New Roman" w:eastAsia="Times New Roman" w:hAnsi="Times New Roman" w:cs="Times New Roman"/>
          <w:sz w:val="24"/>
          <w:szCs w:val="24"/>
        </w:rPr>
        <w:t>señalando la con</w:t>
      </w:r>
      <w:r w:rsidR="002129EE">
        <w:rPr>
          <w:rFonts w:ascii="Times New Roman" w:eastAsia="Times New Roman" w:hAnsi="Times New Roman" w:cs="Times New Roman"/>
          <w:sz w:val="24"/>
          <w:szCs w:val="24"/>
        </w:rPr>
        <w:t>exión emocional y sexual inicial, como un proceso que marca la vida del adolescente.</w:t>
      </w:r>
    </w:p>
    <w:p w14:paraId="79FF95C0" w14:textId="3D31B18C" w:rsidR="001E6E6D" w:rsidRDefault="007C537D"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1B76">
        <w:rPr>
          <w:rFonts w:ascii="Times New Roman" w:eastAsia="Times New Roman" w:hAnsi="Times New Roman" w:cs="Times New Roman"/>
          <w:sz w:val="24"/>
          <w:szCs w:val="24"/>
        </w:rPr>
        <w:t>Por otro lado,</w:t>
      </w:r>
      <w:r>
        <w:rPr>
          <w:rFonts w:ascii="Times New Roman" w:eastAsia="Times New Roman" w:hAnsi="Times New Roman" w:cs="Times New Roman"/>
          <w:sz w:val="24"/>
          <w:szCs w:val="24"/>
        </w:rPr>
        <w:t xml:space="preserve"> </w:t>
      </w:r>
      <w:r w:rsidR="00E450B1">
        <w:rPr>
          <w:rFonts w:ascii="Times New Roman" w:eastAsia="Times New Roman" w:hAnsi="Times New Roman" w:cs="Times New Roman"/>
          <w:sz w:val="24"/>
          <w:szCs w:val="24"/>
        </w:rPr>
        <w:t>Ruth Dixon Mueller</w:t>
      </w:r>
      <w:r>
        <w:rPr>
          <w:rFonts w:ascii="Times New Roman" w:eastAsia="Times New Roman" w:hAnsi="Times New Roman" w:cs="Times New Roman"/>
          <w:sz w:val="24"/>
          <w:szCs w:val="24"/>
        </w:rPr>
        <w:t xml:space="preserve"> </w:t>
      </w:r>
      <w:r w:rsidR="00E450B1">
        <w:rPr>
          <w:rFonts w:ascii="Times New Roman" w:eastAsia="Times New Roman" w:hAnsi="Times New Roman" w:cs="Times New Roman"/>
          <w:sz w:val="24"/>
          <w:szCs w:val="24"/>
        </w:rPr>
        <w:t xml:space="preserve">hace un análisis </w:t>
      </w:r>
      <w:r w:rsidR="00961B76">
        <w:rPr>
          <w:rFonts w:ascii="Times New Roman" w:eastAsia="Times New Roman" w:hAnsi="Times New Roman" w:cs="Times New Roman"/>
          <w:sz w:val="24"/>
          <w:szCs w:val="24"/>
        </w:rPr>
        <w:t>específico</w:t>
      </w:r>
      <w:r w:rsidR="00E450B1">
        <w:rPr>
          <w:rFonts w:ascii="Times New Roman" w:eastAsia="Times New Roman" w:hAnsi="Times New Roman" w:cs="Times New Roman"/>
          <w:sz w:val="24"/>
          <w:szCs w:val="24"/>
        </w:rPr>
        <w:t xml:space="preserve"> sobre la capacidad de decidir en lo sexual de los menores de 18 años, para lo cual analiza tres aspectos: La preparación fisiológica del cuerpo para la actividad sexual, </w:t>
      </w:r>
      <w:r w:rsidR="007B7067">
        <w:rPr>
          <w:rFonts w:ascii="Times New Roman" w:eastAsia="Times New Roman" w:hAnsi="Times New Roman" w:cs="Times New Roman"/>
          <w:sz w:val="24"/>
          <w:szCs w:val="24"/>
        </w:rPr>
        <w:t xml:space="preserve">las </w:t>
      </w:r>
      <w:r w:rsidR="00E450B1">
        <w:rPr>
          <w:rFonts w:ascii="Times New Roman" w:eastAsia="Times New Roman" w:hAnsi="Times New Roman" w:cs="Times New Roman"/>
          <w:sz w:val="24"/>
          <w:szCs w:val="24"/>
        </w:rPr>
        <w:t xml:space="preserve">capacidades cognitivas, incluidas al de tomar decisiones y </w:t>
      </w:r>
      <w:r w:rsidR="007B7067">
        <w:rPr>
          <w:rFonts w:ascii="Times New Roman" w:eastAsia="Times New Roman" w:hAnsi="Times New Roman" w:cs="Times New Roman"/>
          <w:sz w:val="24"/>
          <w:szCs w:val="24"/>
        </w:rPr>
        <w:t>l</w:t>
      </w:r>
      <w:r w:rsidR="00E450B1">
        <w:rPr>
          <w:rFonts w:ascii="Times New Roman" w:eastAsia="Times New Roman" w:hAnsi="Times New Roman" w:cs="Times New Roman"/>
          <w:sz w:val="24"/>
          <w:szCs w:val="24"/>
        </w:rPr>
        <w:t xml:space="preserve">os conceptos institucionalizados sobre la madurez para consentir, que se refleja en las normas. Comienza su análisis diciendo que la adolescencia temprana se puede presentar entre los 10 </w:t>
      </w:r>
      <w:r w:rsidR="001E6E6D">
        <w:rPr>
          <w:rFonts w:ascii="Times New Roman" w:eastAsia="Times New Roman" w:hAnsi="Times New Roman" w:cs="Times New Roman"/>
          <w:sz w:val="24"/>
          <w:szCs w:val="24"/>
        </w:rPr>
        <w:t xml:space="preserve">– 11 años, los 10 – 14 años y los 12- 14 años y que </w:t>
      </w:r>
      <w:r w:rsidR="001E6E6D">
        <w:rPr>
          <w:rFonts w:ascii="Times New Roman" w:eastAsia="Times New Roman" w:hAnsi="Times New Roman" w:cs="Times New Roman"/>
          <w:sz w:val="24"/>
          <w:szCs w:val="24"/>
        </w:rPr>
        <w:lastRenderedPageBreak/>
        <w:t xml:space="preserve">las características fisiológicas que se dan pueden depender del género y las connotaciones socio culturales, ya que pueden variar </w:t>
      </w:r>
      <w:r w:rsidR="00B97112">
        <w:rPr>
          <w:rFonts w:ascii="Times New Roman" w:eastAsia="Times New Roman" w:hAnsi="Times New Roman" w:cs="Times New Roman"/>
          <w:sz w:val="24"/>
          <w:szCs w:val="24"/>
        </w:rPr>
        <w:t>de acuerdo con el</w:t>
      </w:r>
      <w:r w:rsidR="001E6E6D">
        <w:rPr>
          <w:rFonts w:ascii="Times New Roman" w:eastAsia="Times New Roman" w:hAnsi="Times New Roman" w:cs="Times New Roman"/>
          <w:sz w:val="24"/>
          <w:szCs w:val="24"/>
        </w:rPr>
        <w:t xml:space="preserve"> país. Por lo que</w:t>
      </w:r>
      <w:r w:rsidR="008D19D2">
        <w:rPr>
          <w:rFonts w:ascii="Times New Roman" w:eastAsia="Times New Roman" w:hAnsi="Times New Roman" w:cs="Times New Roman"/>
          <w:sz w:val="24"/>
          <w:szCs w:val="24"/>
        </w:rPr>
        <w:t>,</w:t>
      </w:r>
      <w:r w:rsidR="001E6E6D">
        <w:rPr>
          <w:rFonts w:ascii="Times New Roman" w:eastAsia="Times New Roman" w:hAnsi="Times New Roman" w:cs="Times New Roman"/>
          <w:sz w:val="24"/>
          <w:szCs w:val="24"/>
        </w:rPr>
        <w:t xml:space="preserve"> señala que según estos aspectos, no </w:t>
      </w:r>
      <w:r w:rsidR="008D19D2">
        <w:rPr>
          <w:rFonts w:ascii="Times New Roman" w:eastAsia="Times New Roman" w:hAnsi="Times New Roman" w:cs="Times New Roman"/>
          <w:sz w:val="24"/>
          <w:szCs w:val="24"/>
        </w:rPr>
        <w:t xml:space="preserve">se </w:t>
      </w:r>
      <w:r w:rsidR="001E6E6D">
        <w:rPr>
          <w:rFonts w:ascii="Times New Roman" w:eastAsia="Times New Roman" w:hAnsi="Times New Roman" w:cs="Times New Roman"/>
          <w:sz w:val="24"/>
          <w:szCs w:val="24"/>
        </w:rPr>
        <w:t>puede establecer una edad mínima por debajo de la cual se pueda afirmar que, un menor es demasiado joven para trascender a nivel sexual, matrimonial y reproductivo, puesto que según sus estudios los diferentes individuos y grupos experimenta</w:t>
      </w:r>
      <w:r w:rsidR="00170BA3">
        <w:rPr>
          <w:rFonts w:ascii="Times New Roman" w:eastAsia="Times New Roman" w:hAnsi="Times New Roman" w:cs="Times New Roman"/>
          <w:sz w:val="24"/>
          <w:szCs w:val="24"/>
        </w:rPr>
        <w:t>n</w:t>
      </w:r>
      <w:r w:rsidR="001E6E6D">
        <w:rPr>
          <w:rFonts w:ascii="Times New Roman" w:eastAsia="Times New Roman" w:hAnsi="Times New Roman" w:cs="Times New Roman"/>
          <w:sz w:val="24"/>
          <w:szCs w:val="24"/>
        </w:rPr>
        <w:t xml:space="preserve"> etapas y cambios distintos, por lo que, los procesos de crecimiento físico, sexual y cognitivo de los adolescentes no se alinean entre sí, y tampoco se alinean con las expectativas sociales que se tengan al respecto.</w:t>
      </w:r>
    </w:p>
    <w:p w14:paraId="0CBD937C" w14:textId="6C2A57A6" w:rsidR="00865F87" w:rsidRDefault="00961B76" w:rsidP="00B939F3">
      <w:pPr>
        <w:shd w:val="clear" w:color="auto" w:fill="FFFFFF"/>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Dixon-Mueller a su vez</w:t>
      </w:r>
      <w:r w:rsidR="001E6E6D">
        <w:rPr>
          <w:rFonts w:ascii="Times New Roman" w:eastAsia="Times New Roman" w:hAnsi="Times New Roman" w:cs="Times New Roman"/>
          <w:sz w:val="24"/>
          <w:szCs w:val="24"/>
        </w:rPr>
        <w:t xml:space="preserve">, especifica </w:t>
      </w:r>
      <w:r w:rsidR="00D75701">
        <w:rPr>
          <w:rFonts w:ascii="Times New Roman" w:eastAsia="Times New Roman" w:hAnsi="Times New Roman" w:cs="Times New Roman"/>
          <w:sz w:val="24"/>
          <w:szCs w:val="24"/>
        </w:rPr>
        <w:t>que la maduración o desarrollo sexual se completa antes que la capacidad cognitiva, y que las mujeres suelen madurar primero que los hombres, Dixon- Mueller</w:t>
      </w:r>
      <w:r w:rsidR="001B4335">
        <w:rPr>
          <w:rFonts w:ascii="Times New Roman" w:eastAsia="Times New Roman" w:hAnsi="Times New Roman" w:cs="Times New Roman"/>
          <w:sz w:val="24"/>
          <w:szCs w:val="24"/>
        </w:rPr>
        <w:t xml:space="preserve"> cita  a </w:t>
      </w:r>
      <w:proofErr w:type="spellStart"/>
      <w:r w:rsidR="001B4335">
        <w:rPr>
          <w:rFonts w:ascii="Times New Roman" w:eastAsia="Times New Roman" w:hAnsi="Times New Roman" w:cs="Times New Roman"/>
          <w:sz w:val="24"/>
          <w:szCs w:val="24"/>
        </w:rPr>
        <w:t>Bullough</w:t>
      </w:r>
      <w:proofErr w:type="spellEnd"/>
      <w:r w:rsidR="001B4335">
        <w:rPr>
          <w:rFonts w:ascii="Times New Roman" w:eastAsia="Times New Roman" w:hAnsi="Times New Roman" w:cs="Times New Roman"/>
          <w:sz w:val="24"/>
          <w:szCs w:val="24"/>
        </w:rPr>
        <w:t xml:space="preserve"> quien refiere que tanto mujeres, como hombres experimentan diversos cambios fisiológicos, en el que refieren que la mujeres presentan una acumulación de hormonas femeninas y los varones descargas de testosterona que conlleva hacia la excitación sexual, impulsividad y búsqueda de sensaciones y según </w:t>
      </w:r>
      <w:proofErr w:type="spellStart"/>
      <w:r w:rsidR="001B4335">
        <w:rPr>
          <w:rFonts w:ascii="Times New Roman" w:eastAsia="Times New Roman" w:hAnsi="Times New Roman" w:cs="Times New Roman"/>
          <w:sz w:val="24"/>
          <w:szCs w:val="24"/>
        </w:rPr>
        <w:t>Cambell</w:t>
      </w:r>
      <w:proofErr w:type="spellEnd"/>
      <w:r w:rsidR="001B4335">
        <w:rPr>
          <w:rFonts w:ascii="Times New Roman" w:eastAsia="Times New Roman" w:hAnsi="Times New Roman" w:cs="Times New Roman"/>
          <w:sz w:val="24"/>
          <w:szCs w:val="24"/>
        </w:rPr>
        <w:t xml:space="preserve"> las niñas pueden experimentar estos cambios entre los 12-14 años y los hombres entre los 13 y los 15 años.</w:t>
      </w:r>
      <w:r w:rsidR="00BB173F">
        <w:rPr>
          <w:rFonts w:ascii="Times New Roman" w:eastAsia="Times New Roman" w:hAnsi="Times New Roman" w:cs="Times New Roman"/>
          <w:sz w:val="24"/>
          <w:szCs w:val="24"/>
        </w:rPr>
        <w:t xml:space="preserve"> En este punto cita a </w:t>
      </w:r>
      <w:proofErr w:type="spellStart"/>
      <w:r w:rsidR="00BB173F">
        <w:rPr>
          <w:rFonts w:ascii="Times New Roman" w:eastAsia="Times New Roman" w:hAnsi="Times New Roman" w:cs="Times New Roman"/>
          <w:sz w:val="24"/>
          <w:szCs w:val="24"/>
        </w:rPr>
        <w:t>Breindawer</w:t>
      </w:r>
      <w:proofErr w:type="spellEnd"/>
      <w:r w:rsidR="00BB173F">
        <w:rPr>
          <w:rFonts w:ascii="Times New Roman" w:eastAsia="Times New Roman" w:hAnsi="Times New Roman" w:cs="Times New Roman"/>
          <w:sz w:val="24"/>
          <w:szCs w:val="24"/>
        </w:rPr>
        <w:t xml:space="preserve"> y </w:t>
      </w:r>
      <w:proofErr w:type="spellStart"/>
      <w:r w:rsidR="00BB173F">
        <w:rPr>
          <w:rFonts w:ascii="Times New Roman" w:eastAsia="Times New Roman" w:hAnsi="Times New Roman" w:cs="Times New Roman"/>
          <w:sz w:val="24"/>
          <w:szCs w:val="24"/>
        </w:rPr>
        <w:t>Maddaleno</w:t>
      </w:r>
      <w:proofErr w:type="spellEnd"/>
      <w:r w:rsidR="00BB173F">
        <w:rPr>
          <w:rFonts w:ascii="Times New Roman" w:eastAsia="Times New Roman" w:hAnsi="Times New Roman" w:cs="Times New Roman"/>
          <w:sz w:val="24"/>
          <w:szCs w:val="24"/>
        </w:rPr>
        <w:t xml:space="preserve"> para indicar que, el funcionamiento cerebral es el resultado no solo de factores hormonales, sino genéticos, institucionales, educativos y emocionales, el control de impulsos y la organización completa de la información, para la adolescencia temprana </w:t>
      </w:r>
      <w:r w:rsidR="00BB173F" w:rsidRPr="00DE1312">
        <w:rPr>
          <w:rFonts w:ascii="Times New Roman" w:eastAsia="Times New Roman" w:hAnsi="Times New Roman" w:cs="Times New Roman"/>
          <w:sz w:val="24"/>
          <w:szCs w:val="24"/>
        </w:rPr>
        <w:t>a</w:t>
      </w:r>
      <w:r w:rsidR="00DE1312" w:rsidRPr="00DE1312">
        <w:rPr>
          <w:rFonts w:ascii="Times New Roman" w:eastAsia="Times New Roman" w:hAnsi="Times New Roman" w:cs="Times New Roman"/>
          <w:sz w:val="24"/>
          <w:szCs w:val="24"/>
        </w:rPr>
        <w:t>ú</w:t>
      </w:r>
      <w:r w:rsidR="00BB173F" w:rsidRPr="00DE1312">
        <w:rPr>
          <w:rFonts w:ascii="Times New Roman" w:eastAsia="Times New Roman" w:hAnsi="Times New Roman" w:cs="Times New Roman"/>
          <w:sz w:val="24"/>
          <w:szCs w:val="24"/>
        </w:rPr>
        <w:t>n</w:t>
      </w:r>
      <w:r w:rsidR="00BB173F">
        <w:rPr>
          <w:rFonts w:ascii="Times New Roman" w:eastAsia="Times New Roman" w:hAnsi="Times New Roman" w:cs="Times New Roman"/>
          <w:sz w:val="24"/>
          <w:szCs w:val="24"/>
        </w:rPr>
        <w:t xml:space="preserve"> no se ha desarrollado.</w:t>
      </w:r>
    </w:p>
    <w:p w14:paraId="611497C9" w14:textId="77777777" w:rsidR="00961B76" w:rsidRDefault="00961B76" w:rsidP="00B939F3">
      <w:pPr>
        <w:shd w:val="clear" w:color="auto" w:fill="FFFFFF"/>
        <w:spacing w:after="0" w:line="480" w:lineRule="auto"/>
        <w:ind w:firstLine="708"/>
        <w:rPr>
          <w:rFonts w:ascii="Times New Roman" w:eastAsia="Times New Roman" w:hAnsi="Times New Roman" w:cs="Times New Roman"/>
          <w:sz w:val="24"/>
          <w:szCs w:val="24"/>
        </w:rPr>
      </w:pPr>
    </w:p>
    <w:p w14:paraId="718A01B8" w14:textId="46EB1E14" w:rsidR="00961B76" w:rsidRDefault="00BB173F" w:rsidP="00B939F3">
      <w:pPr>
        <w:shd w:val="clear" w:color="auto" w:fill="FFFFFF"/>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w:t>
      </w:r>
      <w:r w:rsidR="00DE1312" w:rsidRPr="00DE1312">
        <w:rPr>
          <w:rFonts w:ascii="Times New Roman" w:eastAsia="Times New Roman" w:hAnsi="Times New Roman" w:cs="Times New Roman"/>
          <w:sz w:val="24"/>
          <w:szCs w:val="24"/>
        </w:rPr>
        <w:t>último</w:t>
      </w:r>
      <w:r>
        <w:rPr>
          <w:rFonts w:ascii="Times New Roman" w:eastAsia="Times New Roman" w:hAnsi="Times New Roman" w:cs="Times New Roman"/>
          <w:sz w:val="24"/>
          <w:szCs w:val="24"/>
        </w:rPr>
        <w:t xml:space="preserve"> punto, Dixon-Mueller se </w:t>
      </w:r>
      <w:r w:rsidRPr="00DE1312">
        <w:rPr>
          <w:rFonts w:ascii="Times New Roman" w:eastAsia="Times New Roman" w:hAnsi="Times New Roman" w:cs="Times New Roman"/>
          <w:sz w:val="24"/>
          <w:szCs w:val="24"/>
        </w:rPr>
        <w:t>resalta</w:t>
      </w:r>
      <w:r w:rsidR="00DE131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los aspectos que la Convención sobre los Derechos del Niño trae al respecto, puesto que para la Convención se requiere la evolución suficiente de la capacidad para tomar decisiones responsables, que permita determinar si los </w:t>
      </w:r>
      <w:r>
        <w:rPr>
          <w:rFonts w:ascii="Times New Roman" w:eastAsia="Times New Roman" w:hAnsi="Times New Roman" w:cs="Times New Roman"/>
          <w:sz w:val="24"/>
          <w:szCs w:val="24"/>
        </w:rPr>
        <w:lastRenderedPageBreak/>
        <w:t xml:space="preserve">adolescentes solteros menores de 18 años, poseen la madurez necesaria para acceder a servicios de salud sexual y reproductiva sin el consentimiento de los padres, para lo cual se deben revisar </w:t>
      </w:r>
      <w:r w:rsidR="00EE1D5D">
        <w:rPr>
          <w:rFonts w:ascii="Times New Roman" w:eastAsia="Times New Roman" w:hAnsi="Times New Roman" w:cs="Times New Roman"/>
          <w:sz w:val="24"/>
          <w:szCs w:val="24"/>
        </w:rPr>
        <w:t>aspectos relaciones con la salud sexual y reproductiva</w:t>
      </w:r>
      <w:r w:rsidR="00A82BAA">
        <w:rPr>
          <w:rFonts w:ascii="Times New Roman" w:eastAsia="Times New Roman" w:hAnsi="Times New Roman" w:cs="Times New Roman"/>
          <w:sz w:val="24"/>
          <w:szCs w:val="24"/>
        </w:rPr>
        <w:t xml:space="preserve">, en la que juega un papel muy importante la política </w:t>
      </w:r>
      <w:r w:rsidR="00B97112">
        <w:rPr>
          <w:rFonts w:ascii="Times New Roman" w:eastAsia="Times New Roman" w:hAnsi="Times New Roman" w:cs="Times New Roman"/>
          <w:sz w:val="24"/>
          <w:szCs w:val="24"/>
        </w:rPr>
        <w:t>pública</w:t>
      </w:r>
      <w:r w:rsidR="00A82BAA">
        <w:rPr>
          <w:rFonts w:ascii="Times New Roman" w:eastAsia="Times New Roman" w:hAnsi="Times New Roman" w:cs="Times New Roman"/>
          <w:sz w:val="24"/>
          <w:szCs w:val="24"/>
        </w:rPr>
        <w:t xml:space="preserve"> nacional para la educación sexual en los jóvenes, haciéndose extensiva al escenario educativo, familiar y social, reconociendo las </w:t>
      </w:r>
      <w:r w:rsidR="00CD6A01">
        <w:rPr>
          <w:rFonts w:ascii="Times New Roman" w:eastAsia="Times New Roman" w:hAnsi="Times New Roman" w:cs="Times New Roman"/>
          <w:sz w:val="24"/>
          <w:szCs w:val="24"/>
        </w:rPr>
        <w:t xml:space="preserve">diferentes dinámicas culturales  y los contextos </w:t>
      </w:r>
      <w:r w:rsidR="00A82BAA">
        <w:rPr>
          <w:rFonts w:ascii="Times New Roman" w:eastAsia="Times New Roman" w:hAnsi="Times New Roman" w:cs="Times New Roman"/>
          <w:sz w:val="24"/>
          <w:szCs w:val="24"/>
        </w:rPr>
        <w:t>de los grupos</w:t>
      </w:r>
      <w:r w:rsidR="00CD6A01">
        <w:rPr>
          <w:rFonts w:ascii="Times New Roman" w:eastAsia="Times New Roman" w:hAnsi="Times New Roman" w:cs="Times New Roman"/>
          <w:sz w:val="24"/>
          <w:szCs w:val="24"/>
        </w:rPr>
        <w:t xml:space="preserve"> o países</w:t>
      </w:r>
      <w:r w:rsidR="00D94C1D">
        <w:rPr>
          <w:rFonts w:ascii="Times New Roman" w:eastAsia="Times New Roman" w:hAnsi="Times New Roman" w:cs="Times New Roman"/>
          <w:sz w:val="24"/>
          <w:szCs w:val="24"/>
        </w:rPr>
        <w:t xml:space="preserve"> que logre la formación de l</w:t>
      </w:r>
      <w:r w:rsidR="00B92FBB">
        <w:rPr>
          <w:rFonts w:ascii="Times New Roman" w:eastAsia="Times New Roman" w:hAnsi="Times New Roman" w:cs="Times New Roman"/>
          <w:sz w:val="24"/>
          <w:szCs w:val="24"/>
        </w:rPr>
        <w:t>a autoeficacia que consiste en la capacidad de planificar la actividad sexual, controlar impulsos y evitar coacción a otros y habilidad para resistir presiones para tener relaciones sexuales no deseadas, así, como desarrollar habilidades de comunicación.</w:t>
      </w:r>
    </w:p>
    <w:p w14:paraId="5C597A6A" w14:textId="77777777" w:rsidR="00B92FBB" w:rsidRDefault="00B92FBB" w:rsidP="00B939F3">
      <w:pPr>
        <w:shd w:val="clear" w:color="auto" w:fill="FFFFFF"/>
        <w:spacing w:after="0" w:line="480" w:lineRule="auto"/>
        <w:ind w:firstLine="708"/>
        <w:rPr>
          <w:rFonts w:ascii="Times New Roman" w:eastAsia="Times New Roman" w:hAnsi="Times New Roman" w:cs="Times New Roman"/>
          <w:sz w:val="24"/>
          <w:szCs w:val="24"/>
        </w:rPr>
      </w:pPr>
    </w:p>
    <w:p w14:paraId="1C7768A7" w14:textId="07681CB5" w:rsidR="005B6474" w:rsidRDefault="006C68BF" w:rsidP="00B939F3">
      <w:pPr>
        <w:shd w:val="clear" w:color="auto" w:fill="FFFFFF"/>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es importante resaltar </w:t>
      </w:r>
      <w:r w:rsidR="00D172D9">
        <w:rPr>
          <w:rFonts w:ascii="Times New Roman" w:eastAsia="Times New Roman" w:hAnsi="Times New Roman" w:cs="Times New Roman"/>
          <w:sz w:val="24"/>
          <w:szCs w:val="24"/>
        </w:rPr>
        <w:t>con cuanta frecuencia se presentan este tipo de comportamiento sexuales tempranos en los jóvenes, u</w:t>
      </w:r>
      <w:r w:rsidR="00B92FBB">
        <w:rPr>
          <w:rFonts w:ascii="Times New Roman" w:eastAsia="Times New Roman" w:hAnsi="Times New Roman" w:cs="Times New Roman"/>
          <w:sz w:val="24"/>
          <w:szCs w:val="24"/>
        </w:rPr>
        <w:t xml:space="preserve">n ejemplo de que se presentan en un gran porcentaje relaciones o actos sexuales antes de los 14 años, es el </w:t>
      </w:r>
      <w:r w:rsidR="003654FF">
        <w:rPr>
          <w:rFonts w:ascii="Times New Roman" w:eastAsia="Times New Roman" w:hAnsi="Times New Roman" w:cs="Times New Roman"/>
          <w:sz w:val="24"/>
          <w:szCs w:val="24"/>
        </w:rPr>
        <w:t>caso</w:t>
      </w:r>
      <w:r w:rsidR="00B92FBB">
        <w:rPr>
          <w:rFonts w:ascii="Times New Roman" w:eastAsia="Times New Roman" w:hAnsi="Times New Roman" w:cs="Times New Roman"/>
          <w:sz w:val="24"/>
          <w:szCs w:val="24"/>
        </w:rPr>
        <w:t xml:space="preserve"> traído por Dixon-Mueller sobre un estudio realizado un curso de 7° grado, donde los estudiantes expresaron que entre los 11 a los 14 años consideraban que no se deberían de tener relaciones sexuales, pero minutos después manifestaron que si tendrían relaciones si se presentara la oportunidad y muchos ya los habían hecho. En el caso de la estadística solicitada a la Fiscalía Seccional de la Unidad de Responsabilidad para Adolescentes del Caquetá, </w:t>
      </w:r>
      <w:r w:rsidR="00B92FBB" w:rsidRPr="00DE1312">
        <w:rPr>
          <w:rFonts w:ascii="Times New Roman" w:eastAsia="Times New Roman" w:hAnsi="Times New Roman" w:cs="Times New Roman"/>
          <w:sz w:val="24"/>
          <w:szCs w:val="24"/>
        </w:rPr>
        <w:t>est</w:t>
      </w:r>
      <w:r w:rsidR="00DE1312" w:rsidRPr="00DE1312">
        <w:rPr>
          <w:rFonts w:ascii="Times New Roman" w:eastAsia="Times New Roman" w:hAnsi="Times New Roman" w:cs="Times New Roman"/>
          <w:sz w:val="24"/>
          <w:szCs w:val="24"/>
        </w:rPr>
        <w:t>a</w:t>
      </w:r>
      <w:r w:rsidR="00B92FBB" w:rsidRPr="00DE1312">
        <w:rPr>
          <w:rFonts w:ascii="Times New Roman" w:eastAsia="Times New Roman" w:hAnsi="Times New Roman" w:cs="Times New Roman"/>
          <w:sz w:val="24"/>
          <w:szCs w:val="24"/>
        </w:rPr>
        <w:t xml:space="preserve"> report</w:t>
      </w:r>
      <w:r w:rsidR="00DE1312" w:rsidRPr="00DE1312">
        <w:rPr>
          <w:rFonts w:ascii="Times New Roman" w:eastAsia="Times New Roman" w:hAnsi="Times New Roman" w:cs="Times New Roman"/>
          <w:sz w:val="24"/>
          <w:szCs w:val="24"/>
        </w:rPr>
        <w:t>ó</w:t>
      </w:r>
      <w:r w:rsidR="00B92FBB">
        <w:rPr>
          <w:rFonts w:ascii="Times New Roman" w:eastAsia="Times New Roman" w:hAnsi="Times New Roman" w:cs="Times New Roman"/>
          <w:sz w:val="24"/>
          <w:szCs w:val="24"/>
        </w:rPr>
        <w:t xml:space="preserve"> que</w:t>
      </w:r>
      <w:r w:rsidR="00007C86">
        <w:rPr>
          <w:rFonts w:ascii="Times New Roman" w:eastAsia="Times New Roman" w:hAnsi="Times New Roman" w:cs="Times New Roman"/>
          <w:sz w:val="24"/>
          <w:szCs w:val="24"/>
        </w:rPr>
        <w:t xml:space="preserve">, de los delitos sexuales </w:t>
      </w:r>
      <w:r w:rsidR="007E1457">
        <w:rPr>
          <w:rFonts w:ascii="Times New Roman" w:eastAsia="Times New Roman" w:hAnsi="Times New Roman" w:cs="Times New Roman"/>
          <w:sz w:val="24"/>
          <w:szCs w:val="24"/>
        </w:rPr>
        <w:t xml:space="preserve">contra menores, </w:t>
      </w:r>
      <w:r w:rsidR="00007C86">
        <w:rPr>
          <w:rFonts w:ascii="Times New Roman" w:eastAsia="Times New Roman" w:hAnsi="Times New Roman" w:cs="Times New Roman"/>
          <w:sz w:val="24"/>
          <w:szCs w:val="24"/>
        </w:rPr>
        <w:t>investigados entre</w:t>
      </w:r>
      <w:r w:rsidR="00B92FBB">
        <w:rPr>
          <w:rFonts w:ascii="Times New Roman" w:eastAsia="Times New Roman" w:hAnsi="Times New Roman" w:cs="Times New Roman"/>
          <w:sz w:val="24"/>
          <w:szCs w:val="24"/>
        </w:rPr>
        <w:t xml:space="preserve"> enero de 2021 a septiembre de 2022, se habían presentado 71 casos de relaciones sexuales exploratorias </w:t>
      </w:r>
      <w:r w:rsidR="00007C86">
        <w:rPr>
          <w:rFonts w:ascii="Times New Roman" w:eastAsia="Times New Roman" w:hAnsi="Times New Roman" w:cs="Times New Roman"/>
          <w:sz w:val="24"/>
          <w:szCs w:val="24"/>
        </w:rPr>
        <w:t xml:space="preserve">y consentidas </w:t>
      </w:r>
      <w:r w:rsidR="00B92FBB">
        <w:rPr>
          <w:rFonts w:ascii="Times New Roman" w:eastAsia="Times New Roman" w:hAnsi="Times New Roman" w:cs="Times New Roman"/>
          <w:sz w:val="24"/>
          <w:szCs w:val="24"/>
        </w:rPr>
        <w:t>entre adolescentes menores de 14 años y adolescentes entre los 14 y 17 años. Se debe tener en cuenta que el Departamento del Caquetá es pequeño demográficamente, ya que cuenta con 16 municipios y con una población a 2022 de 423.</w:t>
      </w:r>
      <w:r w:rsidR="00007C86">
        <w:rPr>
          <w:rFonts w:ascii="Times New Roman" w:eastAsia="Times New Roman" w:hAnsi="Times New Roman" w:cs="Times New Roman"/>
          <w:sz w:val="24"/>
          <w:szCs w:val="24"/>
        </w:rPr>
        <w:t xml:space="preserve">857 habitantes. </w:t>
      </w:r>
      <w:r w:rsidR="008B4368">
        <w:rPr>
          <w:rFonts w:ascii="Times New Roman" w:eastAsia="Times New Roman" w:hAnsi="Times New Roman" w:cs="Times New Roman"/>
          <w:sz w:val="24"/>
          <w:szCs w:val="24"/>
        </w:rPr>
        <w:t>(</w:t>
      </w:r>
      <w:proofErr w:type="spellStart"/>
      <w:r w:rsidR="008B4368">
        <w:rPr>
          <w:rFonts w:ascii="Times New Roman" w:eastAsia="Times New Roman" w:hAnsi="Times New Roman" w:cs="Times New Roman"/>
          <w:sz w:val="24"/>
          <w:szCs w:val="24"/>
        </w:rPr>
        <w:t>TodaColombia</w:t>
      </w:r>
      <w:proofErr w:type="spellEnd"/>
      <w:r w:rsidR="008B4368">
        <w:rPr>
          <w:rFonts w:ascii="Times New Roman" w:eastAsia="Times New Roman" w:hAnsi="Times New Roman" w:cs="Times New Roman"/>
          <w:sz w:val="24"/>
          <w:szCs w:val="24"/>
        </w:rPr>
        <w:t xml:space="preserve">, 2023). </w:t>
      </w:r>
    </w:p>
    <w:p w14:paraId="74BC653B" w14:textId="77777777" w:rsidR="003654FF" w:rsidRDefault="003654FF" w:rsidP="00B939F3">
      <w:pPr>
        <w:shd w:val="clear" w:color="auto" w:fill="FFFFFF"/>
        <w:spacing w:after="0" w:line="480" w:lineRule="auto"/>
        <w:ind w:firstLine="708"/>
        <w:rPr>
          <w:rFonts w:ascii="Times New Roman" w:eastAsia="Times New Roman" w:hAnsi="Times New Roman" w:cs="Times New Roman"/>
          <w:sz w:val="24"/>
          <w:szCs w:val="24"/>
        </w:rPr>
      </w:pPr>
    </w:p>
    <w:p w14:paraId="6F2284B4" w14:textId="41805B41" w:rsidR="005B6474" w:rsidRPr="001846A4" w:rsidRDefault="005B6474" w:rsidP="00B939F3">
      <w:pPr>
        <w:shd w:val="clear" w:color="auto" w:fill="FFFFFF"/>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el marco legal que impone el legislador y atendiendo a las modificaciones en materia jurisprudencial realizada por la Corte Constitucional, así como la aplicación del principio de oportunidad por parte de la Fiscalía General de la Nación en los casos del Sistema de Responsabilidad Penal para Adolescentes, es oportuno señalar que los menores de 14 años aunque presuntamente no pueden ni siquiera pretender disponer del bien jurídico de la libertad sexual, con e</w:t>
      </w:r>
      <w:r w:rsidR="003C0BC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DE1312">
        <w:rPr>
          <w:rFonts w:ascii="Times New Roman" w:eastAsia="Times New Roman" w:hAnsi="Times New Roman" w:cs="Times New Roman"/>
          <w:sz w:val="24"/>
          <w:szCs w:val="24"/>
        </w:rPr>
        <w:t>pronunciamient</w:t>
      </w:r>
      <w:r w:rsidR="003C0BC7">
        <w:rPr>
          <w:rFonts w:ascii="Times New Roman" w:eastAsia="Times New Roman" w:hAnsi="Times New Roman" w:cs="Times New Roman"/>
          <w:sz w:val="24"/>
          <w:szCs w:val="24"/>
        </w:rPr>
        <w:t xml:space="preserve">o realizado por la Corte Constitucional </w:t>
      </w:r>
      <w:r w:rsidR="00BC466C">
        <w:rPr>
          <w:rFonts w:ascii="Times New Roman" w:eastAsia="Times New Roman" w:hAnsi="Times New Roman" w:cs="Times New Roman"/>
          <w:sz w:val="24"/>
          <w:szCs w:val="24"/>
        </w:rPr>
        <w:t xml:space="preserve"> en la sentencia T-142 de 2019</w:t>
      </w:r>
      <w:r w:rsidRPr="00DE1312">
        <w:rPr>
          <w:rFonts w:ascii="Times New Roman" w:eastAsia="Times New Roman" w:hAnsi="Times New Roman" w:cs="Times New Roman"/>
          <w:sz w:val="24"/>
          <w:szCs w:val="24"/>
        </w:rPr>
        <w:t xml:space="preserve"> s</w:t>
      </w:r>
      <w:r w:rsidR="00DE1312" w:rsidRPr="00DE131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apertura el debate</w:t>
      </w:r>
      <w:r w:rsidR="00BC46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la importancia de la manifestación de voluntad o la emisión del consentimiento en este tipo de delitos y ante lo cual se debe analizar el contexto en el que, se generen los hechos</w:t>
      </w:r>
      <w:r w:rsidR="00BC466C">
        <w:rPr>
          <w:rFonts w:ascii="Times New Roman" w:eastAsia="Times New Roman" w:hAnsi="Times New Roman" w:cs="Times New Roman"/>
          <w:sz w:val="24"/>
          <w:szCs w:val="24"/>
        </w:rPr>
        <w:t xml:space="preserve">, además de que, en contravía de la presunción </w:t>
      </w:r>
      <w:r w:rsidR="001846A4">
        <w:rPr>
          <w:rFonts w:ascii="Times New Roman" w:eastAsia="Times New Roman" w:hAnsi="Times New Roman" w:cs="Times New Roman"/>
          <w:sz w:val="24"/>
          <w:szCs w:val="24"/>
        </w:rPr>
        <w:t xml:space="preserve">de derecho </w:t>
      </w:r>
      <w:r w:rsidR="00BC466C" w:rsidRPr="00BC466C">
        <w:rPr>
          <w:rFonts w:ascii="Times New Roman" w:eastAsia="Times New Roman" w:hAnsi="Times New Roman" w:cs="Times New Roman"/>
          <w:i/>
          <w:iCs/>
          <w:sz w:val="24"/>
          <w:szCs w:val="24"/>
        </w:rPr>
        <w:t>iur</w:t>
      </w:r>
      <w:r w:rsidR="00AD7E4F">
        <w:rPr>
          <w:rFonts w:ascii="Times New Roman" w:eastAsia="Times New Roman" w:hAnsi="Times New Roman" w:cs="Times New Roman"/>
          <w:i/>
          <w:iCs/>
          <w:sz w:val="24"/>
          <w:szCs w:val="24"/>
        </w:rPr>
        <w:t>is</w:t>
      </w:r>
      <w:r w:rsidR="00BC466C" w:rsidRPr="00BC466C">
        <w:rPr>
          <w:rFonts w:ascii="Times New Roman" w:eastAsia="Times New Roman" w:hAnsi="Times New Roman" w:cs="Times New Roman"/>
          <w:i/>
          <w:iCs/>
          <w:sz w:val="24"/>
          <w:szCs w:val="24"/>
        </w:rPr>
        <w:t xml:space="preserve"> et de iure</w:t>
      </w:r>
      <w:r w:rsidR="001846A4">
        <w:rPr>
          <w:rFonts w:ascii="Times New Roman" w:eastAsia="Times New Roman" w:hAnsi="Times New Roman" w:cs="Times New Roman"/>
          <w:i/>
          <w:iCs/>
          <w:sz w:val="24"/>
          <w:szCs w:val="24"/>
        </w:rPr>
        <w:t>,</w:t>
      </w:r>
      <w:r w:rsidR="00AD7E4F">
        <w:rPr>
          <w:rFonts w:ascii="Times New Roman" w:eastAsia="Times New Roman" w:hAnsi="Times New Roman" w:cs="Times New Roman"/>
          <w:i/>
          <w:iCs/>
          <w:sz w:val="24"/>
          <w:szCs w:val="24"/>
        </w:rPr>
        <w:t xml:space="preserve"> </w:t>
      </w:r>
      <w:r w:rsidR="00AD7E4F" w:rsidRPr="001846A4">
        <w:rPr>
          <w:rFonts w:ascii="Times New Roman" w:eastAsia="Times New Roman" w:hAnsi="Times New Roman" w:cs="Times New Roman"/>
          <w:sz w:val="24"/>
          <w:szCs w:val="24"/>
        </w:rPr>
        <w:t xml:space="preserve">la Corte </w:t>
      </w:r>
      <w:r w:rsidR="005C42E1">
        <w:rPr>
          <w:rFonts w:ascii="Times New Roman" w:eastAsia="Times New Roman" w:hAnsi="Times New Roman" w:cs="Times New Roman"/>
          <w:sz w:val="24"/>
          <w:szCs w:val="24"/>
        </w:rPr>
        <w:t>valida esta</w:t>
      </w:r>
      <w:r w:rsidR="00FD5A5F">
        <w:rPr>
          <w:rFonts w:ascii="Times New Roman" w:eastAsia="Times New Roman" w:hAnsi="Times New Roman" w:cs="Times New Roman"/>
          <w:sz w:val="24"/>
          <w:szCs w:val="24"/>
        </w:rPr>
        <w:t xml:space="preserve"> aplicación en los</w:t>
      </w:r>
      <w:r w:rsidR="001846A4" w:rsidRPr="001846A4">
        <w:rPr>
          <w:rFonts w:ascii="Times New Roman" w:eastAsia="Times New Roman" w:hAnsi="Times New Roman" w:cs="Times New Roman"/>
          <w:sz w:val="24"/>
          <w:szCs w:val="24"/>
        </w:rPr>
        <w:t xml:space="preserve"> procesos de Sistema de Responsabilidad Penal para Adolescentes</w:t>
      </w:r>
      <w:r w:rsidR="00FD5A5F">
        <w:rPr>
          <w:rFonts w:ascii="Times New Roman" w:eastAsia="Times New Roman" w:hAnsi="Times New Roman" w:cs="Times New Roman"/>
          <w:sz w:val="24"/>
          <w:szCs w:val="24"/>
        </w:rPr>
        <w:t>, cuando media el consentimiento</w:t>
      </w:r>
      <w:r w:rsidR="001846A4" w:rsidRPr="001846A4">
        <w:rPr>
          <w:rFonts w:ascii="Times New Roman" w:eastAsia="Times New Roman" w:hAnsi="Times New Roman" w:cs="Times New Roman"/>
          <w:sz w:val="24"/>
          <w:szCs w:val="24"/>
        </w:rPr>
        <w:t>.</w:t>
      </w:r>
    </w:p>
    <w:p w14:paraId="1264ED2E" w14:textId="77777777" w:rsidR="00B97112" w:rsidRDefault="005B6474"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5F87">
        <w:rPr>
          <w:rFonts w:ascii="Times New Roman" w:eastAsia="Times New Roman" w:hAnsi="Times New Roman" w:cs="Times New Roman"/>
          <w:sz w:val="24"/>
          <w:szCs w:val="24"/>
        </w:rPr>
        <w:t xml:space="preserve">Por lo anterior, </w:t>
      </w:r>
      <w:r w:rsidR="00007C86">
        <w:rPr>
          <w:rFonts w:ascii="Times New Roman" w:eastAsia="Times New Roman" w:hAnsi="Times New Roman" w:cs="Times New Roman"/>
          <w:sz w:val="24"/>
          <w:szCs w:val="24"/>
        </w:rPr>
        <w:t xml:space="preserve">y basados </w:t>
      </w:r>
      <w:r>
        <w:rPr>
          <w:rFonts w:ascii="Times New Roman" w:eastAsia="Times New Roman" w:hAnsi="Times New Roman" w:cs="Times New Roman"/>
          <w:sz w:val="24"/>
          <w:szCs w:val="24"/>
        </w:rPr>
        <w:t xml:space="preserve">igualmente </w:t>
      </w:r>
      <w:r w:rsidR="00007C86">
        <w:rPr>
          <w:rFonts w:ascii="Times New Roman" w:eastAsia="Times New Roman" w:hAnsi="Times New Roman" w:cs="Times New Roman"/>
          <w:sz w:val="24"/>
          <w:szCs w:val="24"/>
        </w:rPr>
        <w:t xml:space="preserve">en los estudios científicos </w:t>
      </w:r>
      <w:r w:rsidR="00FD5A5F">
        <w:rPr>
          <w:rFonts w:ascii="Times New Roman" w:eastAsia="Times New Roman" w:hAnsi="Times New Roman" w:cs="Times New Roman"/>
          <w:sz w:val="24"/>
          <w:szCs w:val="24"/>
        </w:rPr>
        <w:t>y psicológico</w:t>
      </w:r>
      <w:r w:rsidR="00E35504">
        <w:rPr>
          <w:rFonts w:ascii="Times New Roman" w:eastAsia="Times New Roman" w:hAnsi="Times New Roman" w:cs="Times New Roman"/>
          <w:sz w:val="24"/>
          <w:szCs w:val="24"/>
        </w:rPr>
        <w:t xml:space="preserve">s </w:t>
      </w:r>
      <w:r w:rsidR="00007C86">
        <w:rPr>
          <w:rFonts w:ascii="Times New Roman" w:eastAsia="Times New Roman" w:hAnsi="Times New Roman" w:cs="Times New Roman"/>
          <w:sz w:val="24"/>
          <w:szCs w:val="24"/>
        </w:rPr>
        <w:t>en cita</w:t>
      </w:r>
      <w:r w:rsidR="00E35504">
        <w:rPr>
          <w:rFonts w:ascii="Times New Roman" w:eastAsia="Times New Roman" w:hAnsi="Times New Roman" w:cs="Times New Roman"/>
          <w:sz w:val="24"/>
          <w:szCs w:val="24"/>
        </w:rPr>
        <w:t>,</w:t>
      </w:r>
      <w:r w:rsidR="00007C86">
        <w:rPr>
          <w:rFonts w:ascii="Times New Roman" w:eastAsia="Times New Roman" w:hAnsi="Times New Roman" w:cs="Times New Roman"/>
          <w:sz w:val="24"/>
          <w:szCs w:val="24"/>
        </w:rPr>
        <w:t xml:space="preserve"> que exploran la evolución física y sexual de los adolescentes y la repercusión que esta tiene en su conducta</w:t>
      </w:r>
      <w:r w:rsidR="004833C5">
        <w:rPr>
          <w:rFonts w:ascii="Times New Roman" w:eastAsia="Times New Roman" w:hAnsi="Times New Roman" w:cs="Times New Roman"/>
          <w:sz w:val="24"/>
          <w:szCs w:val="24"/>
        </w:rPr>
        <w:t xml:space="preserve"> e impulsos sexuales</w:t>
      </w:r>
      <w:r w:rsidR="00007C86">
        <w:rPr>
          <w:rFonts w:ascii="Times New Roman" w:eastAsia="Times New Roman" w:hAnsi="Times New Roman" w:cs="Times New Roman"/>
          <w:sz w:val="24"/>
          <w:szCs w:val="24"/>
        </w:rPr>
        <w:t>, así, como su capacidad de autodeterminación</w:t>
      </w:r>
      <w:r>
        <w:rPr>
          <w:rFonts w:ascii="Times New Roman" w:eastAsia="Times New Roman" w:hAnsi="Times New Roman" w:cs="Times New Roman"/>
          <w:sz w:val="24"/>
          <w:szCs w:val="24"/>
        </w:rPr>
        <w:t xml:space="preserve"> sexual</w:t>
      </w:r>
      <w:r w:rsidR="00007C86">
        <w:rPr>
          <w:rFonts w:ascii="Times New Roman" w:eastAsia="Times New Roman" w:hAnsi="Times New Roman" w:cs="Times New Roman"/>
          <w:sz w:val="24"/>
          <w:szCs w:val="24"/>
        </w:rPr>
        <w:t xml:space="preserve">, </w:t>
      </w:r>
      <w:r w:rsidR="007C537D">
        <w:rPr>
          <w:rFonts w:ascii="Times New Roman" w:eastAsia="Times New Roman" w:hAnsi="Times New Roman" w:cs="Times New Roman"/>
          <w:sz w:val="24"/>
          <w:szCs w:val="24"/>
        </w:rPr>
        <w:t>es importante, establecer</w:t>
      </w:r>
      <w:r w:rsidR="00865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prontitud, </w:t>
      </w:r>
      <w:r w:rsidR="00865F87">
        <w:rPr>
          <w:rFonts w:ascii="Times New Roman" w:eastAsia="Times New Roman" w:hAnsi="Times New Roman" w:cs="Times New Roman"/>
          <w:sz w:val="24"/>
          <w:szCs w:val="24"/>
        </w:rPr>
        <w:t>una reformulación</w:t>
      </w:r>
      <w:r w:rsidR="007C537D">
        <w:rPr>
          <w:rFonts w:ascii="Times New Roman" w:eastAsia="Times New Roman" w:hAnsi="Times New Roman" w:cs="Times New Roman"/>
          <w:sz w:val="24"/>
          <w:szCs w:val="24"/>
        </w:rPr>
        <w:t xml:space="preserve"> y modificación</w:t>
      </w:r>
      <w:r w:rsidR="00865F87">
        <w:rPr>
          <w:rFonts w:ascii="Times New Roman" w:eastAsia="Times New Roman" w:hAnsi="Times New Roman" w:cs="Times New Roman"/>
          <w:sz w:val="24"/>
          <w:szCs w:val="24"/>
        </w:rPr>
        <w:t xml:space="preserve"> de la normativa penal descrita, la cual no busca desconocer los derechos de </w:t>
      </w:r>
      <w:r w:rsidR="00865F87" w:rsidRPr="00DE1312">
        <w:rPr>
          <w:rFonts w:ascii="Times New Roman" w:eastAsia="Times New Roman" w:hAnsi="Times New Roman" w:cs="Times New Roman"/>
          <w:sz w:val="24"/>
          <w:szCs w:val="24"/>
        </w:rPr>
        <w:t>las v</w:t>
      </w:r>
      <w:r w:rsidR="00DE1312" w:rsidRPr="00DE1312">
        <w:rPr>
          <w:rFonts w:ascii="Times New Roman" w:eastAsia="Times New Roman" w:hAnsi="Times New Roman" w:cs="Times New Roman"/>
          <w:sz w:val="24"/>
          <w:szCs w:val="24"/>
        </w:rPr>
        <w:t>í</w:t>
      </w:r>
      <w:r w:rsidR="00865F87" w:rsidRPr="00DE1312">
        <w:rPr>
          <w:rFonts w:ascii="Times New Roman" w:eastAsia="Times New Roman" w:hAnsi="Times New Roman" w:cs="Times New Roman"/>
          <w:sz w:val="24"/>
          <w:szCs w:val="24"/>
        </w:rPr>
        <w:t>ctimas</w:t>
      </w:r>
      <w:r w:rsidR="00865F87">
        <w:rPr>
          <w:rFonts w:ascii="Times New Roman" w:eastAsia="Times New Roman" w:hAnsi="Times New Roman" w:cs="Times New Roman"/>
          <w:sz w:val="24"/>
          <w:szCs w:val="24"/>
        </w:rPr>
        <w:t xml:space="preserve"> como partes procesales, </w:t>
      </w:r>
      <w:r>
        <w:rPr>
          <w:rFonts w:ascii="Times New Roman" w:eastAsia="Times New Roman" w:hAnsi="Times New Roman" w:cs="Times New Roman"/>
          <w:sz w:val="24"/>
          <w:szCs w:val="24"/>
        </w:rPr>
        <w:t xml:space="preserve">ni de los factores que inciden en este tipo de decisiones, </w:t>
      </w:r>
      <w:r w:rsidR="00865F87">
        <w:rPr>
          <w:rFonts w:ascii="Times New Roman" w:eastAsia="Times New Roman" w:hAnsi="Times New Roman" w:cs="Times New Roman"/>
          <w:sz w:val="24"/>
          <w:szCs w:val="24"/>
        </w:rPr>
        <w:t xml:space="preserve">ni tampoco busca enfocarse en la exoneración de responsabilidad </w:t>
      </w:r>
      <w:r w:rsidR="00EB58A4">
        <w:rPr>
          <w:rFonts w:ascii="Times New Roman" w:eastAsia="Times New Roman" w:hAnsi="Times New Roman" w:cs="Times New Roman"/>
          <w:sz w:val="24"/>
          <w:szCs w:val="24"/>
        </w:rPr>
        <w:t xml:space="preserve">de los presunto agresores </w:t>
      </w:r>
      <w:r w:rsidR="00865F87">
        <w:rPr>
          <w:rFonts w:ascii="Times New Roman" w:eastAsia="Times New Roman" w:hAnsi="Times New Roman" w:cs="Times New Roman"/>
          <w:sz w:val="24"/>
          <w:szCs w:val="24"/>
        </w:rPr>
        <w:t>o que se limite la persecución penal de los procesos adelantados por delitos sexuales cometidos contra menores de 1</w:t>
      </w:r>
      <w:r w:rsidR="00194F98">
        <w:rPr>
          <w:rFonts w:ascii="Times New Roman" w:eastAsia="Times New Roman" w:hAnsi="Times New Roman" w:cs="Times New Roman"/>
          <w:sz w:val="24"/>
          <w:szCs w:val="24"/>
        </w:rPr>
        <w:t>4</w:t>
      </w:r>
      <w:r w:rsidR="00865F87">
        <w:rPr>
          <w:rFonts w:ascii="Times New Roman" w:eastAsia="Times New Roman" w:hAnsi="Times New Roman" w:cs="Times New Roman"/>
          <w:sz w:val="24"/>
          <w:szCs w:val="24"/>
        </w:rPr>
        <w:t xml:space="preserve"> años, </w:t>
      </w:r>
      <w:r w:rsidRPr="00DE1312">
        <w:rPr>
          <w:rFonts w:ascii="Times New Roman" w:eastAsia="Times New Roman" w:hAnsi="Times New Roman" w:cs="Times New Roman"/>
          <w:sz w:val="24"/>
          <w:szCs w:val="24"/>
        </w:rPr>
        <w:t>lo cual</w:t>
      </w:r>
      <w:r w:rsidR="00EB58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fundamental en el reconocimiento de los derechos señalados en la Convención sobre los Derechos del Niño y la Constitución Política de 1991</w:t>
      </w:r>
      <w:r w:rsidR="00B97112">
        <w:rPr>
          <w:rFonts w:ascii="Times New Roman" w:eastAsia="Times New Roman" w:hAnsi="Times New Roman" w:cs="Times New Roman"/>
          <w:sz w:val="24"/>
          <w:szCs w:val="24"/>
        </w:rPr>
        <w:t>.</w:t>
      </w:r>
    </w:p>
    <w:p w14:paraId="604CC09B" w14:textId="13D4708B" w:rsidR="0071268A" w:rsidRDefault="005B6474"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97112">
        <w:rPr>
          <w:rFonts w:ascii="Times New Roman" w:eastAsia="Times New Roman" w:hAnsi="Times New Roman" w:cs="Times New Roman"/>
          <w:sz w:val="24"/>
          <w:szCs w:val="24"/>
        </w:rPr>
        <w:tab/>
        <w:t>P</w:t>
      </w:r>
      <w:r w:rsidR="00EB58A4">
        <w:rPr>
          <w:rFonts w:ascii="Times New Roman" w:eastAsia="Times New Roman" w:hAnsi="Times New Roman" w:cs="Times New Roman"/>
          <w:sz w:val="24"/>
          <w:szCs w:val="24"/>
        </w:rPr>
        <w:t xml:space="preserve">or el contrario, </w:t>
      </w:r>
      <w:r w:rsidR="00865F87">
        <w:rPr>
          <w:rFonts w:ascii="Times New Roman" w:eastAsia="Times New Roman" w:hAnsi="Times New Roman" w:cs="Times New Roman"/>
          <w:sz w:val="24"/>
          <w:szCs w:val="24"/>
        </w:rPr>
        <w:t xml:space="preserve">lo que se pretende </w:t>
      </w:r>
      <w:r w:rsidR="00FD5A5F">
        <w:rPr>
          <w:rFonts w:ascii="Times New Roman" w:eastAsia="Times New Roman" w:hAnsi="Times New Roman" w:cs="Times New Roman"/>
          <w:sz w:val="24"/>
          <w:szCs w:val="24"/>
        </w:rPr>
        <w:t xml:space="preserve">con la hipótesis del presente trabajo </w:t>
      </w:r>
      <w:r w:rsidR="00865F87">
        <w:rPr>
          <w:rFonts w:ascii="Times New Roman" w:eastAsia="Times New Roman" w:hAnsi="Times New Roman" w:cs="Times New Roman"/>
          <w:sz w:val="24"/>
          <w:szCs w:val="24"/>
        </w:rPr>
        <w:t>es que</w:t>
      </w:r>
      <w:r w:rsidR="007C537D">
        <w:rPr>
          <w:rFonts w:ascii="Times New Roman" w:eastAsia="Times New Roman" w:hAnsi="Times New Roman" w:cs="Times New Roman"/>
          <w:sz w:val="24"/>
          <w:szCs w:val="24"/>
        </w:rPr>
        <w:t>, la  norma se ajuste a la realidad y que,</w:t>
      </w:r>
      <w:r w:rsidR="00865F87">
        <w:rPr>
          <w:rFonts w:ascii="Times New Roman" w:eastAsia="Times New Roman" w:hAnsi="Times New Roman" w:cs="Times New Roman"/>
          <w:sz w:val="24"/>
          <w:szCs w:val="24"/>
        </w:rPr>
        <w:t xml:space="preserve"> independiente</w:t>
      </w:r>
      <w:r w:rsidR="007C537D">
        <w:rPr>
          <w:rFonts w:ascii="Times New Roman" w:eastAsia="Times New Roman" w:hAnsi="Times New Roman" w:cs="Times New Roman"/>
          <w:sz w:val="24"/>
          <w:szCs w:val="24"/>
        </w:rPr>
        <w:t>mente</w:t>
      </w:r>
      <w:r w:rsidR="00865F87">
        <w:rPr>
          <w:rFonts w:ascii="Times New Roman" w:eastAsia="Times New Roman" w:hAnsi="Times New Roman" w:cs="Times New Roman"/>
          <w:sz w:val="24"/>
          <w:szCs w:val="24"/>
        </w:rPr>
        <w:t xml:space="preserve"> de la edad del presunto agresor, a través de la modificación normativa de la presunción, de presunción </w:t>
      </w:r>
      <w:r w:rsidR="004A13C7">
        <w:rPr>
          <w:rFonts w:ascii="Times New Roman" w:eastAsia="Times New Roman" w:hAnsi="Times New Roman" w:cs="Times New Roman"/>
          <w:sz w:val="24"/>
          <w:szCs w:val="24"/>
        </w:rPr>
        <w:t>de</w:t>
      </w:r>
      <w:r w:rsidR="00865F87">
        <w:rPr>
          <w:rFonts w:ascii="Times New Roman" w:eastAsia="Times New Roman" w:hAnsi="Times New Roman" w:cs="Times New Roman"/>
          <w:sz w:val="24"/>
          <w:szCs w:val="24"/>
        </w:rPr>
        <w:t xml:space="preserve"> derecho </w:t>
      </w:r>
      <w:r w:rsidR="00865F87" w:rsidRPr="00BE37EA">
        <w:rPr>
          <w:rFonts w:ascii="Times New Roman" w:eastAsia="Times New Roman" w:hAnsi="Times New Roman" w:cs="Times New Roman"/>
          <w:i/>
          <w:iCs/>
          <w:sz w:val="24"/>
          <w:szCs w:val="24"/>
        </w:rPr>
        <w:t>iu</w:t>
      </w:r>
      <w:r w:rsidR="00EB58A4">
        <w:rPr>
          <w:rFonts w:ascii="Times New Roman" w:eastAsia="Times New Roman" w:hAnsi="Times New Roman" w:cs="Times New Roman"/>
          <w:i/>
          <w:iCs/>
          <w:sz w:val="24"/>
          <w:szCs w:val="24"/>
        </w:rPr>
        <w:t>ris</w:t>
      </w:r>
      <w:r w:rsidR="00865F87" w:rsidRPr="00BE37EA">
        <w:rPr>
          <w:rFonts w:ascii="Times New Roman" w:eastAsia="Times New Roman" w:hAnsi="Times New Roman" w:cs="Times New Roman"/>
          <w:i/>
          <w:iCs/>
          <w:sz w:val="24"/>
          <w:szCs w:val="24"/>
        </w:rPr>
        <w:t xml:space="preserve"> et de iure</w:t>
      </w:r>
      <w:r w:rsidR="00865F87">
        <w:rPr>
          <w:rFonts w:ascii="Times New Roman" w:eastAsia="Times New Roman" w:hAnsi="Times New Roman" w:cs="Times New Roman"/>
          <w:sz w:val="24"/>
          <w:szCs w:val="24"/>
        </w:rPr>
        <w:t xml:space="preserve">, a presunción legal </w:t>
      </w:r>
      <w:r w:rsidR="00865F87" w:rsidRPr="00BE37EA">
        <w:rPr>
          <w:rFonts w:ascii="Times New Roman" w:eastAsia="Times New Roman" w:hAnsi="Times New Roman" w:cs="Times New Roman"/>
          <w:i/>
          <w:iCs/>
          <w:sz w:val="24"/>
          <w:szCs w:val="24"/>
        </w:rPr>
        <w:t>iuris tantum</w:t>
      </w:r>
      <w:r w:rsidR="00865F87" w:rsidRPr="00865F87">
        <w:rPr>
          <w:rFonts w:ascii="Times New Roman" w:eastAsia="Times New Roman" w:hAnsi="Times New Roman" w:cs="Times New Roman"/>
          <w:sz w:val="24"/>
          <w:szCs w:val="24"/>
        </w:rPr>
        <w:t xml:space="preserve">, </w:t>
      </w:r>
      <w:r w:rsidR="00865F87" w:rsidRPr="00DE1312">
        <w:rPr>
          <w:rFonts w:ascii="Times New Roman" w:eastAsia="Times New Roman" w:hAnsi="Times New Roman" w:cs="Times New Roman"/>
          <w:sz w:val="24"/>
          <w:szCs w:val="24"/>
        </w:rPr>
        <w:t>que s</w:t>
      </w:r>
      <w:r w:rsidR="00DE1312" w:rsidRPr="00DE1312">
        <w:rPr>
          <w:rFonts w:ascii="Times New Roman" w:eastAsia="Times New Roman" w:hAnsi="Times New Roman" w:cs="Times New Roman"/>
          <w:sz w:val="24"/>
          <w:szCs w:val="24"/>
        </w:rPr>
        <w:t>í</w:t>
      </w:r>
      <w:r w:rsidR="00865F87" w:rsidRPr="00DE1312">
        <w:rPr>
          <w:rFonts w:ascii="Times New Roman" w:eastAsia="Times New Roman" w:hAnsi="Times New Roman" w:cs="Times New Roman"/>
          <w:sz w:val="24"/>
          <w:szCs w:val="24"/>
        </w:rPr>
        <w:t xml:space="preserve"> admite</w:t>
      </w:r>
      <w:r w:rsidR="00865F87" w:rsidRPr="00865F87">
        <w:rPr>
          <w:rFonts w:ascii="Times New Roman" w:eastAsia="Times New Roman" w:hAnsi="Times New Roman" w:cs="Times New Roman"/>
          <w:sz w:val="24"/>
          <w:szCs w:val="24"/>
        </w:rPr>
        <w:t xml:space="preserve"> prueba en contrario, se </w:t>
      </w:r>
      <w:r w:rsidR="00FD5A5F">
        <w:rPr>
          <w:rFonts w:ascii="Times New Roman" w:eastAsia="Times New Roman" w:hAnsi="Times New Roman" w:cs="Times New Roman"/>
          <w:sz w:val="24"/>
          <w:szCs w:val="24"/>
        </w:rPr>
        <w:t>permita</w:t>
      </w:r>
      <w:r w:rsidR="00865F87" w:rsidRPr="00865F87">
        <w:rPr>
          <w:rFonts w:ascii="Times New Roman" w:eastAsia="Times New Roman" w:hAnsi="Times New Roman" w:cs="Times New Roman"/>
          <w:sz w:val="24"/>
          <w:szCs w:val="24"/>
        </w:rPr>
        <w:t xml:space="preserve"> que el consentimiento</w:t>
      </w:r>
      <w:r>
        <w:rPr>
          <w:rFonts w:ascii="Times New Roman" w:eastAsia="Times New Roman" w:hAnsi="Times New Roman" w:cs="Times New Roman"/>
          <w:sz w:val="24"/>
          <w:szCs w:val="24"/>
        </w:rPr>
        <w:t xml:space="preserve"> y la autoeficacia de los adolescentes</w:t>
      </w:r>
      <w:r w:rsidR="002A615B">
        <w:rPr>
          <w:rFonts w:ascii="Times New Roman" w:eastAsia="Times New Roman" w:hAnsi="Times New Roman" w:cs="Times New Roman"/>
          <w:sz w:val="24"/>
          <w:szCs w:val="24"/>
        </w:rPr>
        <w:t xml:space="preserve"> entre 12 y 14 años</w:t>
      </w:r>
      <w:r>
        <w:rPr>
          <w:rFonts w:ascii="Times New Roman" w:eastAsia="Times New Roman" w:hAnsi="Times New Roman" w:cs="Times New Roman"/>
          <w:sz w:val="24"/>
          <w:szCs w:val="24"/>
        </w:rPr>
        <w:t>,</w:t>
      </w:r>
      <w:r w:rsidR="00865F87" w:rsidRPr="00865F87">
        <w:rPr>
          <w:rFonts w:ascii="Times New Roman" w:eastAsia="Times New Roman" w:hAnsi="Times New Roman" w:cs="Times New Roman"/>
          <w:sz w:val="24"/>
          <w:szCs w:val="24"/>
        </w:rPr>
        <w:t xml:space="preserve"> sea</w:t>
      </w:r>
      <w:r>
        <w:rPr>
          <w:rFonts w:ascii="Times New Roman" w:eastAsia="Times New Roman" w:hAnsi="Times New Roman" w:cs="Times New Roman"/>
          <w:sz w:val="24"/>
          <w:szCs w:val="24"/>
        </w:rPr>
        <w:t>n a</w:t>
      </w:r>
      <w:r w:rsidR="00865F87" w:rsidRPr="00865F87">
        <w:rPr>
          <w:rFonts w:ascii="Times New Roman" w:eastAsia="Times New Roman" w:hAnsi="Times New Roman" w:cs="Times New Roman"/>
          <w:sz w:val="24"/>
          <w:szCs w:val="24"/>
        </w:rPr>
        <w:t>nalizado</w:t>
      </w:r>
      <w:r>
        <w:rPr>
          <w:rFonts w:ascii="Times New Roman" w:eastAsia="Times New Roman" w:hAnsi="Times New Roman" w:cs="Times New Roman"/>
          <w:sz w:val="24"/>
          <w:szCs w:val="24"/>
        </w:rPr>
        <w:t>s</w:t>
      </w:r>
      <w:r w:rsidR="00865F87" w:rsidRPr="00865F87">
        <w:rPr>
          <w:rFonts w:ascii="Times New Roman" w:eastAsia="Times New Roman" w:hAnsi="Times New Roman" w:cs="Times New Roman"/>
          <w:sz w:val="24"/>
          <w:szCs w:val="24"/>
        </w:rPr>
        <w:t xml:space="preserve"> </w:t>
      </w:r>
      <w:r w:rsidR="00EB58A4">
        <w:rPr>
          <w:rFonts w:ascii="Times New Roman" w:eastAsia="Times New Roman" w:hAnsi="Times New Roman" w:cs="Times New Roman"/>
          <w:sz w:val="24"/>
          <w:szCs w:val="24"/>
        </w:rPr>
        <w:t xml:space="preserve">en conjunto </w:t>
      </w:r>
      <w:r w:rsidR="00865F87" w:rsidRPr="00865F87">
        <w:rPr>
          <w:rFonts w:ascii="Times New Roman" w:eastAsia="Times New Roman" w:hAnsi="Times New Roman" w:cs="Times New Roman"/>
          <w:sz w:val="24"/>
          <w:szCs w:val="24"/>
        </w:rPr>
        <w:t xml:space="preserve">por el operador judicial, </w:t>
      </w:r>
      <w:r w:rsidR="00BD0D64">
        <w:rPr>
          <w:rFonts w:ascii="Times New Roman" w:eastAsia="Times New Roman" w:hAnsi="Times New Roman" w:cs="Times New Roman"/>
          <w:sz w:val="24"/>
          <w:szCs w:val="24"/>
        </w:rPr>
        <w:t xml:space="preserve">para lo cual </w:t>
      </w:r>
      <w:r w:rsidR="002A615B">
        <w:rPr>
          <w:rFonts w:ascii="Times New Roman" w:eastAsia="Times New Roman" w:hAnsi="Times New Roman" w:cs="Times New Roman"/>
          <w:sz w:val="24"/>
          <w:szCs w:val="24"/>
        </w:rPr>
        <w:t>se propone este rango de edad</w:t>
      </w:r>
      <w:r w:rsidR="00BD0D64">
        <w:rPr>
          <w:rFonts w:ascii="Times New Roman" w:eastAsia="Times New Roman" w:hAnsi="Times New Roman" w:cs="Times New Roman"/>
          <w:sz w:val="24"/>
          <w:szCs w:val="24"/>
        </w:rPr>
        <w:t xml:space="preserve"> entre los 12 y 14 años</w:t>
      </w:r>
      <w:r w:rsidR="002A615B">
        <w:rPr>
          <w:rFonts w:ascii="Times New Roman" w:eastAsia="Times New Roman" w:hAnsi="Times New Roman" w:cs="Times New Roman"/>
          <w:sz w:val="24"/>
          <w:szCs w:val="24"/>
        </w:rPr>
        <w:t>, buscando</w:t>
      </w:r>
      <w:r w:rsidR="0099562D">
        <w:rPr>
          <w:rFonts w:ascii="Times New Roman" w:eastAsia="Times New Roman" w:hAnsi="Times New Roman" w:cs="Times New Roman"/>
          <w:sz w:val="24"/>
          <w:szCs w:val="24"/>
        </w:rPr>
        <w:t xml:space="preserve"> trazar un límite </w:t>
      </w:r>
      <w:r w:rsidR="002A615B">
        <w:rPr>
          <w:rFonts w:ascii="Times New Roman" w:eastAsia="Times New Roman" w:hAnsi="Times New Roman" w:cs="Times New Roman"/>
          <w:sz w:val="24"/>
          <w:szCs w:val="24"/>
        </w:rPr>
        <w:t xml:space="preserve">dentro de ese mismo análisis, para que </w:t>
      </w:r>
      <w:r w:rsidR="00865F87" w:rsidRPr="00865F87">
        <w:rPr>
          <w:rFonts w:ascii="Times New Roman" w:eastAsia="Times New Roman" w:hAnsi="Times New Roman" w:cs="Times New Roman"/>
          <w:sz w:val="24"/>
          <w:szCs w:val="24"/>
        </w:rPr>
        <w:t xml:space="preserve">sean los jueces penales del sistema de adultos, como del sistema </w:t>
      </w:r>
      <w:r w:rsidR="0071268A">
        <w:rPr>
          <w:rFonts w:ascii="Times New Roman" w:eastAsia="Times New Roman" w:hAnsi="Times New Roman" w:cs="Times New Roman"/>
          <w:sz w:val="24"/>
          <w:szCs w:val="24"/>
        </w:rPr>
        <w:t xml:space="preserve">de responsabilidad </w:t>
      </w:r>
      <w:r w:rsidR="00865F87" w:rsidRPr="00865F87">
        <w:rPr>
          <w:rFonts w:ascii="Times New Roman" w:eastAsia="Times New Roman" w:hAnsi="Times New Roman" w:cs="Times New Roman"/>
          <w:sz w:val="24"/>
          <w:szCs w:val="24"/>
        </w:rPr>
        <w:t xml:space="preserve">penal para adolescentes, quienes analicen los casos en concreto, que sean </w:t>
      </w:r>
      <w:r w:rsidR="00194F98">
        <w:rPr>
          <w:rFonts w:ascii="Times New Roman" w:eastAsia="Times New Roman" w:hAnsi="Times New Roman" w:cs="Times New Roman"/>
          <w:sz w:val="24"/>
          <w:szCs w:val="24"/>
        </w:rPr>
        <w:t xml:space="preserve">los Jueces </w:t>
      </w:r>
      <w:r w:rsidR="00865F87" w:rsidRPr="00865F87">
        <w:rPr>
          <w:rFonts w:ascii="Times New Roman" w:eastAsia="Times New Roman" w:hAnsi="Times New Roman" w:cs="Times New Roman"/>
          <w:sz w:val="24"/>
          <w:szCs w:val="24"/>
        </w:rPr>
        <w:t>como autoridades</w:t>
      </w:r>
      <w:r w:rsidR="00194F98">
        <w:rPr>
          <w:rFonts w:ascii="Times New Roman" w:eastAsia="Times New Roman" w:hAnsi="Times New Roman" w:cs="Times New Roman"/>
          <w:sz w:val="24"/>
          <w:szCs w:val="24"/>
        </w:rPr>
        <w:t>,</w:t>
      </w:r>
      <w:r w:rsidR="00865F87" w:rsidRPr="00865F87">
        <w:rPr>
          <w:rFonts w:ascii="Times New Roman" w:eastAsia="Times New Roman" w:hAnsi="Times New Roman" w:cs="Times New Roman"/>
          <w:sz w:val="24"/>
          <w:szCs w:val="24"/>
        </w:rPr>
        <w:t xml:space="preserve"> quienes determinen </w:t>
      </w:r>
      <w:r w:rsidR="00194F98">
        <w:rPr>
          <w:rFonts w:ascii="Times New Roman" w:eastAsia="Times New Roman" w:hAnsi="Times New Roman" w:cs="Times New Roman"/>
          <w:sz w:val="24"/>
          <w:szCs w:val="24"/>
        </w:rPr>
        <w:t xml:space="preserve">basados en la valoración probatoria y la sana critica, </w:t>
      </w:r>
      <w:r w:rsidR="00865F87" w:rsidRPr="00865F87">
        <w:rPr>
          <w:rFonts w:ascii="Times New Roman" w:eastAsia="Times New Roman" w:hAnsi="Times New Roman" w:cs="Times New Roman"/>
          <w:sz w:val="24"/>
          <w:szCs w:val="24"/>
        </w:rPr>
        <w:t xml:space="preserve">el grado de responsabilidad del presunto agresor, así como las circunstancias concomitantes o previas que caracterizan las relaciones sexuales consentidas, como las relaciones exploratorias, de noviazgo, relaciones maritales de hecho, el contexto social y cultural, el desarrollo biológico y psicológico, </w:t>
      </w:r>
      <w:r w:rsidR="00961B76">
        <w:rPr>
          <w:rFonts w:ascii="Times New Roman" w:eastAsia="Times New Roman" w:hAnsi="Times New Roman" w:cs="Times New Roman"/>
          <w:sz w:val="24"/>
          <w:szCs w:val="24"/>
        </w:rPr>
        <w:t xml:space="preserve">la educación sexual, </w:t>
      </w:r>
      <w:r w:rsidR="00865F87" w:rsidRPr="00865F87">
        <w:rPr>
          <w:rFonts w:ascii="Times New Roman" w:eastAsia="Times New Roman" w:hAnsi="Times New Roman" w:cs="Times New Roman"/>
          <w:sz w:val="24"/>
          <w:szCs w:val="24"/>
        </w:rPr>
        <w:t>entre otros, pues</w:t>
      </w:r>
      <w:r w:rsidR="00194F98">
        <w:rPr>
          <w:rFonts w:ascii="Times New Roman" w:eastAsia="Times New Roman" w:hAnsi="Times New Roman" w:cs="Times New Roman"/>
          <w:sz w:val="24"/>
          <w:szCs w:val="24"/>
        </w:rPr>
        <w:t>to que,</w:t>
      </w:r>
      <w:r w:rsidR="00865F87" w:rsidRPr="00865F87">
        <w:rPr>
          <w:rFonts w:ascii="Times New Roman" w:eastAsia="Times New Roman" w:hAnsi="Times New Roman" w:cs="Times New Roman"/>
          <w:sz w:val="24"/>
          <w:szCs w:val="24"/>
        </w:rPr>
        <w:t xml:space="preserve"> no se puede seguir desconociendo una realidad que a diario afrontan las a</w:t>
      </w:r>
      <w:r w:rsidR="00865F87">
        <w:rPr>
          <w:rFonts w:ascii="Times New Roman" w:eastAsia="Times New Roman" w:hAnsi="Times New Roman" w:cs="Times New Roman"/>
          <w:sz w:val="24"/>
          <w:szCs w:val="24"/>
        </w:rPr>
        <w:t>uto</w:t>
      </w:r>
      <w:r w:rsidR="00865F87" w:rsidRPr="00865F87">
        <w:rPr>
          <w:rFonts w:ascii="Times New Roman" w:eastAsia="Times New Roman" w:hAnsi="Times New Roman" w:cs="Times New Roman"/>
          <w:sz w:val="24"/>
          <w:szCs w:val="24"/>
        </w:rPr>
        <w:t xml:space="preserve">ridades administrativas como lo son </w:t>
      </w:r>
      <w:r w:rsidR="00961B76">
        <w:rPr>
          <w:rFonts w:ascii="Times New Roman" w:eastAsia="Times New Roman" w:hAnsi="Times New Roman" w:cs="Times New Roman"/>
          <w:sz w:val="24"/>
          <w:szCs w:val="24"/>
        </w:rPr>
        <w:t xml:space="preserve">las Defensorías de Familia del </w:t>
      </w:r>
      <w:r w:rsidR="00865F87" w:rsidRPr="00865F87">
        <w:rPr>
          <w:rFonts w:ascii="Times New Roman" w:eastAsia="Times New Roman" w:hAnsi="Times New Roman" w:cs="Times New Roman"/>
          <w:sz w:val="24"/>
          <w:szCs w:val="24"/>
        </w:rPr>
        <w:t xml:space="preserve">ICBF y Comisarías de Familia, así como Fiscalías y Despachos Judiciales. </w:t>
      </w:r>
    </w:p>
    <w:p w14:paraId="17B8507E" w14:textId="21947043" w:rsidR="00865F87" w:rsidRPr="00036CEF" w:rsidRDefault="0071268A" w:rsidP="00B939F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505B">
        <w:rPr>
          <w:rFonts w:ascii="Times New Roman" w:eastAsia="Times New Roman" w:hAnsi="Times New Roman" w:cs="Times New Roman"/>
          <w:sz w:val="24"/>
          <w:szCs w:val="24"/>
        </w:rPr>
        <w:t xml:space="preserve">Así las cosas, no se </w:t>
      </w:r>
      <w:r w:rsidR="00F75704">
        <w:rPr>
          <w:rFonts w:ascii="Times New Roman" w:eastAsia="Times New Roman" w:hAnsi="Times New Roman" w:cs="Times New Roman"/>
          <w:sz w:val="24"/>
          <w:szCs w:val="24"/>
        </w:rPr>
        <w:t>po</w:t>
      </w:r>
      <w:r w:rsidR="0053505B">
        <w:rPr>
          <w:rFonts w:ascii="Times New Roman" w:eastAsia="Times New Roman" w:hAnsi="Times New Roman" w:cs="Times New Roman"/>
          <w:sz w:val="24"/>
          <w:szCs w:val="24"/>
        </w:rPr>
        <w:t xml:space="preserve">dría en Colombia seguir fundamentando las penas </w:t>
      </w:r>
      <w:r w:rsidR="0079385A">
        <w:rPr>
          <w:rFonts w:ascii="Times New Roman" w:eastAsia="Times New Roman" w:hAnsi="Times New Roman" w:cs="Times New Roman"/>
          <w:sz w:val="24"/>
          <w:szCs w:val="24"/>
        </w:rPr>
        <w:t xml:space="preserve">para </w:t>
      </w:r>
      <w:r w:rsidR="00F75704">
        <w:rPr>
          <w:rFonts w:ascii="Times New Roman" w:eastAsia="Times New Roman" w:hAnsi="Times New Roman" w:cs="Times New Roman"/>
          <w:sz w:val="24"/>
          <w:szCs w:val="24"/>
        </w:rPr>
        <w:t>este tipo de delitos</w:t>
      </w:r>
      <w:r w:rsidR="00FF362D">
        <w:rPr>
          <w:rFonts w:ascii="Times New Roman" w:eastAsia="Times New Roman" w:hAnsi="Times New Roman" w:cs="Times New Roman"/>
          <w:sz w:val="24"/>
          <w:szCs w:val="24"/>
        </w:rPr>
        <w:t>,</w:t>
      </w:r>
      <w:r w:rsidR="00F75704">
        <w:rPr>
          <w:rFonts w:ascii="Times New Roman" w:eastAsia="Times New Roman" w:hAnsi="Times New Roman" w:cs="Times New Roman"/>
          <w:sz w:val="24"/>
          <w:szCs w:val="24"/>
        </w:rPr>
        <w:t xml:space="preserve"> </w:t>
      </w:r>
      <w:r w:rsidR="0079385A">
        <w:rPr>
          <w:rFonts w:ascii="Times New Roman" w:eastAsia="Times New Roman" w:hAnsi="Times New Roman" w:cs="Times New Roman"/>
          <w:sz w:val="24"/>
          <w:szCs w:val="24"/>
        </w:rPr>
        <w:t>con</w:t>
      </w:r>
      <w:r w:rsidR="00F75704">
        <w:rPr>
          <w:rFonts w:ascii="Times New Roman" w:eastAsia="Times New Roman" w:hAnsi="Times New Roman" w:cs="Times New Roman"/>
          <w:sz w:val="24"/>
          <w:szCs w:val="24"/>
        </w:rPr>
        <w:t xml:space="preserve"> la presunción </w:t>
      </w:r>
      <w:r w:rsidR="0047464A">
        <w:rPr>
          <w:rFonts w:ascii="Times New Roman" w:eastAsia="Times New Roman" w:hAnsi="Times New Roman" w:cs="Times New Roman"/>
          <w:sz w:val="24"/>
          <w:szCs w:val="24"/>
        </w:rPr>
        <w:t xml:space="preserve">de derecho </w:t>
      </w:r>
      <w:r w:rsidR="0047464A" w:rsidRPr="0047464A">
        <w:rPr>
          <w:rFonts w:ascii="Times New Roman" w:eastAsia="Times New Roman" w:hAnsi="Times New Roman" w:cs="Times New Roman"/>
          <w:i/>
          <w:iCs/>
          <w:sz w:val="24"/>
          <w:szCs w:val="24"/>
        </w:rPr>
        <w:t>iuris et de iure</w:t>
      </w:r>
      <w:r w:rsidR="0047464A" w:rsidRPr="0071268A">
        <w:rPr>
          <w:rFonts w:ascii="Times New Roman" w:eastAsia="Times New Roman" w:hAnsi="Times New Roman" w:cs="Times New Roman"/>
          <w:sz w:val="24"/>
          <w:szCs w:val="24"/>
        </w:rPr>
        <w:t xml:space="preserve">, </w:t>
      </w:r>
      <w:r w:rsidRPr="0071268A">
        <w:rPr>
          <w:rFonts w:ascii="Times New Roman" w:eastAsia="Times New Roman" w:hAnsi="Times New Roman" w:cs="Times New Roman"/>
          <w:sz w:val="24"/>
          <w:szCs w:val="24"/>
        </w:rPr>
        <w:t>puesto que</w:t>
      </w:r>
      <w:r>
        <w:rPr>
          <w:rFonts w:ascii="Times New Roman" w:eastAsia="Times New Roman" w:hAnsi="Times New Roman" w:cs="Times New Roman"/>
          <w:i/>
          <w:iCs/>
          <w:sz w:val="24"/>
          <w:szCs w:val="24"/>
        </w:rPr>
        <w:t xml:space="preserve"> </w:t>
      </w:r>
      <w:r w:rsidR="0047464A" w:rsidRPr="00FF362D">
        <w:rPr>
          <w:rFonts w:ascii="Times New Roman" w:eastAsia="Times New Roman" w:hAnsi="Times New Roman" w:cs="Times New Roman"/>
          <w:sz w:val="24"/>
          <w:szCs w:val="24"/>
        </w:rPr>
        <w:t>se debe revisar cada caso,</w:t>
      </w:r>
      <w:r w:rsidR="00FF362D" w:rsidRPr="00FF362D">
        <w:rPr>
          <w:rFonts w:ascii="Times New Roman" w:eastAsia="Times New Roman" w:hAnsi="Times New Roman" w:cs="Times New Roman"/>
          <w:sz w:val="24"/>
          <w:szCs w:val="24"/>
        </w:rPr>
        <w:t xml:space="preserve"> para de esta forma garantizar en plenitud los derechos de los adolescente</w:t>
      </w:r>
      <w:r w:rsidR="00FF362D">
        <w:rPr>
          <w:rFonts w:ascii="Times New Roman" w:eastAsia="Times New Roman" w:hAnsi="Times New Roman" w:cs="Times New Roman"/>
          <w:sz w:val="24"/>
          <w:szCs w:val="24"/>
        </w:rPr>
        <w:t>s</w:t>
      </w:r>
      <w:r w:rsidR="00FF362D" w:rsidRPr="00FF362D">
        <w:rPr>
          <w:rFonts w:ascii="Times New Roman" w:eastAsia="Times New Roman" w:hAnsi="Times New Roman" w:cs="Times New Roman"/>
          <w:sz w:val="24"/>
          <w:szCs w:val="24"/>
        </w:rPr>
        <w:t xml:space="preserve"> entre 12 y 14 años, revisando su forma de pensar y la educación sexual recibida, </w:t>
      </w:r>
      <w:r w:rsidR="00FF362D" w:rsidRPr="00036CEF">
        <w:rPr>
          <w:rFonts w:ascii="Times New Roman" w:eastAsia="Times New Roman" w:hAnsi="Times New Roman" w:cs="Times New Roman"/>
          <w:sz w:val="24"/>
          <w:szCs w:val="24"/>
        </w:rPr>
        <w:t>así como las circunstancias que</w:t>
      </w:r>
      <w:r w:rsidR="00CB3C6F" w:rsidRPr="00036CEF">
        <w:rPr>
          <w:rFonts w:ascii="Times New Roman" w:eastAsia="Times New Roman" w:hAnsi="Times New Roman" w:cs="Times New Roman"/>
          <w:sz w:val="24"/>
          <w:szCs w:val="24"/>
        </w:rPr>
        <w:t xml:space="preserve"> generaron la conducta objeto de reproche, la modificación normativa aquí propuesta es </w:t>
      </w:r>
      <w:r w:rsidR="003815AB">
        <w:rPr>
          <w:rFonts w:ascii="Times New Roman" w:eastAsia="Times New Roman" w:hAnsi="Times New Roman" w:cs="Times New Roman"/>
          <w:sz w:val="24"/>
          <w:szCs w:val="24"/>
        </w:rPr>
        <w:t>una</w:t>
      </w:r>
      <w:r w:rsidR="00CB3C6F" w:rsidRPr="00036CEF">
        <w:rPr>
          <w:rFonts w:ascii="Times New Roman" w:eastAsia="Times New Roman" w:hAnsi="Times New Roman" w:cs="Times New Roman"/>
          <w:sz w:val="24"/>
          <w:szCs w:val="24"/>
        </w:rPr>
        <w:t xml:space="preserve"> forma de materializar </w:t>
      </w:r>
      <w:r w:rsidR="00193C34" w:rsidRPr="00036CEF">
        <w:rPr>
          <w:rFonts w:ascii="Times New Roman" w:eastAsia="Times New Roman" w:hAnsi="Times New Roman" w:cs="Times New Roman"/>
          <w:sz w:val="24"/>
          <w:szCs w:val="24"/>
        </w:rPr>
        <w:t>el derecho a la libertad</w:t>
      </w:r>
      <w:r w:rsidR="003815AB">
        <w:rPr>
          <w:rFonts w:ascii="Times New Roman" w:eastAsia="Times New Roman" w:hAnsi="Times New Roman" w:cs="Times New Roman"/>
          <w:sz w:val="24"/>
          <w:szCs w:val="24"/>
        </w:rPr>
        <w:t>, integridad</w:t>
      </w:r>
      <w:r w:rsidR="00193C34" w:rsidRPr="00036CEF">
        <w:rPr>
          <w:rFonts w:ascii="Times New Roman" w:eastAsia="Times New Roman" w:hAnsi="Times New Roman" w:cs="Times New Roman"/>
          <w:sz w:val="24"/>
          <w:szCs w:val="24"/>
        </w:rPr>
        <w:t xml:space="preserve"> y formación sexuales de los adolescentes y de generar sanciones justas que permitan darle importancia no solo a la </w:t>
      </w:r>
      <w:r w:rsidR="00193C34" w:rsidRPr="00036CEF">
        <w:rPr>
          <w:rFonts w:ascii="Times New Roman" w:eastAsia="Times New Roman" w:hAnsi="Times New Roman" w:cs="Times New Roman"/>
          <w:sz w:val="24"/>
          <w:szCs w:val="24"/>
        </w:rPr>
        <w:lastRenderedPageBreak/>
        <w:t xml:space="preserve">voluntad de los </w:t>
      </w:r>
      <w:r w:rsidR="00FB62B0">
        <w:rPr>
          <w:rFonts w:ascii="Times New Roman" w:eastAsia="Times New Roman" w:hAnsi="Times New Roman" w:cs="Times New Roman"/>
          <w:sz w:val="24"/>
          <w:szCs w:val="24"/>
        </w:rPr>
        <w:t>adolescentes</w:t>
      </w:r>
      <w:r w:rsidR="00193C34" w:rsidRPr="00036CEF">
        <w:rPr>
          <w:rFonts w:ascii="Times New Roman" w:eastAsia="Times New Roman" w:hAnsi="Times New Roman" w:cs="Times New Roman"/>
          <w:sz w:val="24"/>
          <w:szCs w:val="24"/>
        </w:rPr>
        <w:t xml:space="preserve"> y su capacidad de decisión, sino, que permite</w:t>
      </w:r>
      <w:r w:rsidR="00FB62B0">
        <w:rPr>
          <w:rFonts w:ascii="Times New Roman" w:eastAsia="Times New Roman" w:hAnsi="Times New Roman" w:cs="Times New Roman"/>
          <w:sz w:val="24"/>
          <w:szCs w:val="24"/>
        </w:rPr>
        <w:t>,</w:t>
      </w:r>
      <w:r w:rsidR="00193C34" w:rsidRPr="00036CEF">
        <w:rPr>
          <w:rFonts w:ascii="Times New Roman" w:eastAsia="Times New Roman" w:hAnsi="Times New Roman" w:cs="Times New Roman"/>
          <w:sz w:val="24"/>
          <w:szCs w:val="24"/>
        </w:rPr>
        <w:t xml:space="preserve"> </w:t>
      </w:r>
      <w:r w:rsidR="007B618B">
        <w:rPr>
          <w:rFonts w:ascii="Times New Roman" w:eastAsia="Times New Roman" w:hAnsi="Times New Roman" w:cs="Times New Roman"/>
          <w:sz w:val="24"/>
          <w:szCs w:val="24"/>
        </w:rPr>
        <w:t>no solo de</w:t>
      </w:r>
      <w:r w:rsidR="004D23DB">
        <w:rPr>
          <w:rFonts w:ascii="Times New Roman" w:eastAsia="Times New Roman" w:hAnsi="Times New Roman" w:cs="Times New Roman"/>
          <w:sz w:val="24"/>
          <w:szCs w:val="24"/>
        </w:rPr>
        <w:t>s</w:t>
      </w:r>
      <w:r w:rsidR="007B618B">
        <w:rPr>
          <w:rFonts w:ascii="Times New Roman" w:eastAsia="Times New Roman" w:hAnsi="Times New Roman" w:cs="Times New Roman"/>
          <w:sz w:val="24"/>
          <w:szCs w:val="24"/>
        </w:rPr>
        <w:t>c</w:t>
      </w:r>
      <w:r w:rsidR="004D23DB">
        <w:rPr>
          <w:rFonts w:ascii="Times New Roman" w:eastAsia="Times New Roman" w:hAnsi="Times New Roman" w:cs="Times New Roman"/>
          <w:sz w:val="24"/>
          <w:szCs w:val="24"/>
        </w:rPr>
        <w:t>o</w:t>
      </w:r>
      <w:r w:rsidR="007B618B">
        <w:rPr>
          <w:rFonts w:ascii="Times New Roman" w:eastAsia="Times New Roman" w:hAnsi="Times New Roman" w:cs="Times New Roman"/>
          <w:sz w:val="24"/>
          <w:szCs w:val="24"/>
        </w:rPr>
        <w:t>ng</w:t>
      </w:r>
      <w:r w:rsidR="004D23DB">
        <w:rPr>
          <w:rFonts w:ascii="Times New Roman" w:eastAsia="Times New Roman" w:hAnsi="Times New Roman" w:cs="Times New Roman"/>
          <w:sz w:val="24"/>
          <w:szCs w:val="24"/>
        </w:rPr>
        <w:t>e</w:t>
      </w:r>
      <w:r w:rsidR="007B618B">
        <w:rPr>
          <w:rFonts w:ascii="Times New Roman" w:eastAsia="Times New Roman" w:hAnsi="Times New Roman" w:cs="Times New Roman"/>
          <w:sz w:val="24"/>
          <w:szCs w:val="24"/>
        </w:rPr>
        <w:t xml:space="preserve">stionar la administración de justicia, sino </w:t>
      </w:r>
      <w:r w:rsidR="004F72A0">
        <w:rPr>
          <w:rFonts w:ascii="Times New Roman" w:eastAsia="Times New Roman" w:hAnsi="Times New Roman" w:cs="Times New Roman"/>
          <w:sz w:val="24"/>
          <w:szCs w:val="24"/>
        </w:rPr>
        <w:t>adelantar acciones cont</w:t>
      </w:r>
      <w:r w:rsidR="004D23DB">
        <w:rPr>
          <w:rFonts w:ascii="Times New Roman" w:eastAsia="Times New Roman" w:hAnsi="Times New Roman" w:cs="Times New Roman"/>
          <w:sz w:val="24"/>
          <w:szCs w:val="24"/>
        </w:rPr>
        <w:t>und</w:t>
      </w:r>
      <w:r w:rsidR="004F72A0">
        <w:rPr>
          <w:rFonts w:ascii="Times New Roman" w:eastAsia="Times New Roman" w:hAnsi="Times New Roman" w:cs="Times New Roman"/>
          <w:sz w:val="24"/>
          <w:szCs w:val="24"/>
        </w:rPr>
        <w:t>en</w:t>
      </w:r>
      <w:r w:rsidR="004D23DB">
        <w:rPr>
          <w:rFonts w:ascii="Times New Roman" w:eastAsia="Times New Roman" w:hAnsi="Times New Roman" w:cs="Times New Roman"/>
          <w:sz w:val="24"/>
          <w:szCs w:val="24"/>
        </w:rPr>
        <w:t>t</w:t>
      </w:r>
      <w:r w:rsidR="004F72A0">
        <w:rPr>
          <w:rFonts w:ascii="Times New Roman" w:eastAsia="Times New Roman" w:hAnsi="Times New Roman" w:cs="Times New Roman"/>
          <w:sz w:val="24"/>
          <w:szCs w:val="24"/>
        </w:rPr>
        <w:t>es para los casos donde se ha</w:t>
      </w:r>
      <w:r w:rsidR="004D23DB">
        <w:rPr>
          <w:rFonts w:ascii="Times New Roman" w:eastAsia="Times New Roman" w:hAnsi="Times New Roman" w:cs="Times New Roman"/>
          <w:sz w:val="24"/>
          <w:szCs w:val="24"/>
        </w:rPr>
        <w:t>n</w:t>
      </w:r>
      <w:r w:rsidR="004F72A0">
        <w:rPr>
          <w:rFonts w:ascii="Times New Roman" w:eastAsia="Times New Roman" w:hAnsi="Times New Roman" w:cs="Times New Roman"/>
          <w:sz w:val="24"/>
          <w:szCs w:val="24"/>
        </w:rPr>
        <w:t xml:space="preserve"> </w:t>
      </w:r>
      <w:r w:rsidR="004D23DB">
        <w:rPr>
          <w:rFonts w:ascii="Times New Roman" w:eastAsia="Times New Roman" w:hAnsi="Times New Roman" w:cs="Times New Roman"/>
          <w:sz w:val="24"/>
          <w:szCs w:val="24"/>
        </w:rPr>
        <w:t>vulnerado</w:t>
      </w:r>
      <w:r w:rsidR="004F72A0">
        <w:rPr>
          <w:rFonts w:ascii="Times New Roman" w:eastAsia="Times New Roman" w:hAnsi="Times New Roman" w:cs="Times New Roman"/>
          <w:sz w:val="24"/>
          <w:szCs w:val="24"/>
        </w:rPr>
        <w:t xml:space="preserve"> est</w:t>
      </w:r>
      <w:r w:rsidR="004D23DB">
        <w:rPr>
          <w:rFonts w:ascii="Times New Roman" w:eastAsia="Times New Roman" w:hAnsi="Times New Roman" w:cs="Times New Roman"/>
          <w:sz w:val="24"/>
          <w:szCs w:val="24"/>
        </w:rPr>
        <w:t>os</w:t>
      </w:r>
      <w:r w:rsidR="004F72A0">
        <w:rPr>
          <w:rFonts w:ascii="Times New Roman" w:eastAsia="Times New Roman" w:hAnsi="Times New Roman" w:cs="Times New Roman"/>
          <w:sz w:val="24"/>
          <w:szCs w:val="24"/>
        </w:rPr>
        <w:t xml:space="preserve"> mismo</w:t>
      </w:r>
      <w:r w:rsidR="004D23DB">
        <w:rPr>
          <w:rFonts w:ascii="Times New Roman" w:eastAsia="Times New Roman" w:hAnsi="Times New Roman" w:cs="Times New Roman"/>
          <w:sz w:val="24"/>
          <w:szCs w:val="24"/>
        </w:rPr>
        <w:t>s</w:t>
      </w:r>
      <w:r w:rsidR="004F72A0">
        <w:rPr>
          <w:rFonts w:ascii="Times New Roman" w:eastAsia="Times New Roman" w:hAnsi="Times New Roman" w:cs="Times New Roman"/>
          <w:sz w:val="24"/>
          <w:szCs w:val="24"/>
        </w:rPr>
        <w:t xml:space="preserve"> derechos, a</w:t>
      </w:r>
      <w:r w:rsidR="004D23DB">
        <w:rPr>
          <w:rFonts w:ascii="Times New Roman" w:eastAsia="Times New Roman" w:hAnsi="Times New Roman" w:cs="Times New Roman"/>
          <w:sz w:val="24"/>
          <w:szCs w:val="24"/>
        </w:rPr>
        <w:t xml:space="preserve"> través</w:t>
      </w:r>
      <w:r w:rsidR="004F72A0">
        <w:rPr>
          <w:rFonts w:ascii="Times New Roman" w:eastAsia="Times New Roman" w:hAnsi="Times New Roman" w:cs="Times New Roman"/>
          <w:sz w:val="24"/>
          <w:szCs w:val="24"/>
        </w:rPr>
        <w:t xml:space="preserve"> de conductas inescrupulosas contra los menores</w:t>
      </w:r>
      <w:r w:rsidR="004F7A1B">
        <w:rPr>
          <w:rFonts w:ascii="Times New Roman" w:eastAsia="Times New Roman" w:hAnsi="Times New Roman" w:cs="Times New Roman"/>
          <w:sz w:val="24"/>
          <w:szCs w:val="24"/>
        </w:rPr>
        <w:t>, con esta propuesta se est</w:t>
      </w:r>
      <w:r w:rsidR="004D23DB">
        <w:rPr>
          <w:rFonts w:ascii="Times New Roman" w:eastAsia="Times New Roman" w:hAnsi="Times New Roman" w:cs="Times New Roman"/>
          <w:sz w:val="24"/>
          <w:szCs w:val="24"/>
        </w:rPr>
        <w:t>á</w:t>
      </w:r>
      <w:r w:rsidR="004F7A1B">
        <w:rPr>
          <w:rFonts w:ascii="Times New Roman" w:eastAsia="Times New Roman" w:hAnsi="Times New Roman" w:cs="Times New Roman"/>
          <w:sz w:val="24"/>
          <w:szCs w:val="24"/>
        </w:rPr>
        <w:t xml:space="preserve"> dignificando los derechos de las </w:t>
      </w:r>
      <w:r w:rsidR="00B97112">
        <w:rPr>
          <w:rFonts w:ascii="Times New Roman" w:eastAsia="Times New Roman" w:hAnsi="Times New Roman" w:cs="Times New Roman"/>
          <w:sz w:val="24"/>
          <w:szCs w:val="24"/>
        </w:rPr>
        <w:t>víctimas</w:t>
      </w:r>
      <w:r w:rsidR="004F7A1B">
        <w:rPr>
          <w:rFonts w:ascii="Times New Roman" w:eastAsia="Times New Roman" w:hAnsi="Times New Roman" w:cs="Times New Roman"/>
          <w:sz w:val="24"/>
          <w:szCs w:val="24"/>
        </w:rPr>
        <w:t xml:space="preserve"> y su derechos a ser es</w:t>
      </w:r>
      <w:r w:rsidR="004D23DB">
        <w:rPr>
          <w:rFonts w:ascii="Times New Roman" w:eastAsia="Times New Roman" w:hAnsi="Times New Roman" w:cs="Times New Roman"/>
          <w:sz w:val="24"/>
          <w:szCs w:val="24"/>
        </w:rPr>
        <w:t>c</w:t>
      </w:r>
      <w:r w:rsidR="004F7A1B">
        <w:rPr>
          <w:rFonts w:ascii="Times New Roman" w:eastAsia="Times New Roman" w:hAnsi="Times New Roman" w:cs="Times New Roman"/>
          <w:sz w:val="24"/>
          <w:szCs w:val="24"/>
        </w:rPr>
        <w:t>uchados</w:t>
      </w:r>
      <w:r w:rsidR="004D23DB">
        <w:rPr>
          <w:rFonts w:ascii="Times New Roman" w:eastAsia="Times New Roman" w:hAnsi="Times New Roman" w:cs="Times New Roman"/>
          <w:sz w:val="24"/>
          <w:szCs w:val="24"/>
        </w:rPr>
        <w:t xml:space="preserve">, </w:t>
      </w:r>
      <w:r w:rsidR="004F7A1B">
        <w:rPr>
          <w:rFonts w:ascii="Times New Roman" w:eastAsia="Times New Roman" w:hAnsi="Times New Roman" w:cs="Times New Roman"/>
          <w:sz w:val="24"/>
          <w:szCs w:val="24"/>
        </w:rPr>
        <w:t xml:space="preserve">validados, reconocidos y respetados, tanto en lo que es </w:t>
      </w:r>
      <w:r w:rsidR="00E35504">
        <w:rPr>
          <w:rFonts w:ascii="Times New Roman" w:eastAsia="Times New Roman" w:hAnsi="Times New Roman" w:cs="Times New Roman"/>
          <w:sz w:val="24"/>
          <w:szCs w:val="24"/>
        </w:rPr>
        <w:t xml:space="preserve">afirmado y </w:t>
      </w:r>
      <w:r w:rsidR="004F7A1B">
        <w:rPr>
          <w:rFonts w:ascii="Times New Roman" w:eastAsia="Times New Roman" w:hAnsi="Times New Roman" w:cs="Times New Roman"/>
          <w:sz w:val="24"/>
          <w:szCs w:val="24"/>
        </w:rPr>
        <w:t xml:space="preserve">permitido para ellos, como para lo que </w:t>
      </w:r>
      <w:r w:rsidR="004D23DB">
        <w:rPr>
          <w:rFonts w:ascii="Times New Roman" w:eastAsia="Times New Roman" w:hAnsi="Times New Roman" w:cs="Times New Roman"/>
          <w:sz w:val="24"/>
          <w:szCs w:val="24"/>
        </w:rPr>
        <w:t>es una notoria tran</w:t>
      </w:r>
      <w:r w:rsidR="00E35504">
        <w:rPr>
          <w:rFonts w:ascii="Times New Roman" w:eastAsia="Times New Roman" w:hAnsi="Times New Roman" w:cs="Times New Roman"/>
          <w:sz w:val="24"/>
          <w:szCs w:val="24"/>
        </w:rPr>
        <w:t>s</w:t>
      </w:r>
      <w:r w:rsidR="004D23DB">
        <w:rPr>
          <w:rFonts w:ascii="Times New Roman" w:eastAsia="Times New Roman" w:hAnsi="Times New Roman" w:cs="Times New Roman"/>
          <w:sz w:val="24"/>
          <w:szCs w:val="24"/>
        </w:rPr>
        <w:t>gresión a sus dere</w:t>
      </w:r>
      <w:r w:rsidR="00E35504">
        <w:rPr>
          <w:rFonts w:ascii="Times New Roman" w:eastAsia="Times New Roman" w:hAnsi="Times New Roman" w:cs="Times New Roman"/>
          <w:sz w:val="24"/>
          <w:szCs w:val="24"/>
        </w:rPr>
        <w:t>c</w:t>
      </w:r>
      <w:r w:rsidR="004D23DB">
        <w:rPr>
          <w:rFonts w:ascii="Times New Roman" w:eastAsia="Times New Roman" w:hAnsi="Times New Roman" w:cs="Times New Roman"/>
          <w:sz w:val="24"/>
          <w:szCs w:val="24"/>
        </w:rPr>
        <w:t>hos sexuales e int</w:t>
      </w:r>
      <w:r w:rsidR="00E35504">
        <w:rPr>
          <w:rFonts w:ascii="Times New Roman" w:eastAsia="Times New Roman" w:hAnsi="Times New Roman" w:cs="Times New Roman"/>
          <w:sz w:val="24"/>
          <w:szCs w:val="24"/>
        </w:rPr>
        <w:t>egri</w:t>
      </w:r>
      <w:r w:rsidR="004D23DB">
        <w:rPr>
          <w:rFonts w:ascii="Times New Roman" w:eastAsia="Times New Roman" w:hAnsi="Times New Roman" w:cs="Times New Roman"/>
          <w:sz w:val="24"/>
          <w:szCs w:val="24"/>
        </w:rPr>
        <w:t>dad personal.</w:t>
      </w:r>
    </w:p>
    <w:p w14:paraId="09EA0DF4" w14:textId="6714B72B" w:rsidR="00A94B67" w:rsidRPr="0053505B" w:rsidRDefault="004B11A2" w:rsidP="00B939F3">
      <w:pPr>
        <w:spacing w:line="480" w:lineRule="auto"/>
        <w:rPr>
          <w:rFonts w:ascii="Times New Roman" w:eastAsia="Times New Roman" w:hAnsi="Times New Roman" w:cs="Times New Roman"/>
          <w:b/>
          <w:color w:val="000000"/>
          <w:sz w:val="24"/>
          <w:szCs w:val="24"/>
          <w:lang w:val="es-MX" w:eastAsia="es-MX"/>
        </w:rPr>
      </w:pPr>
      <w:r>
        <w:rPr>
          <w:rFonts w:ascii="Times New Roman" w:eastAsia="Times New Roman" w:hAnsi="Times New Roman" w:cs="Times New Roman"/>
          <w:b/>
          <w:color w:val="000000"/>
          <w:sz w:val="24"/>
          <w:szCs w:val="24"/>
        </w:rPr>
        <w:br w:type="page"/>
      </w:r>
    </w:p>
    <w:p w14:paraId="03DEB694" w14:textId="11AE75D7" w:rsidR="0063426E" w:rsidRDefault="00CD57F1" w:rsidP="008D19D2">
      <w:pPr>
        <w:pStyle w:val="Ttulo1"/>
        <w:spacing w:line="360" w:lineRule="auto"/>
        <w:jc w:val="center"/>
        <w:rPr>
          <w:rFonts w:ascii="Times New Roman" w:eastAsia="Times New Roman" w:hAnsi="Times New Roman" w:cs="Times New Roman"/>
          <w:b/>
          <w:color w:val="000000"/>
          <w:sz w:val="24"/>
          <w:szCs w:val="24"/>
        </w:rPr>
      </w:pPr>
      <w:bookmarkStart w:id="33" w:name="_Toc134376655"/>
      <w:r>
        <w:rPr>
          <w:rFonts w:ascii="Times New Roman" w:eastAsia="Times New Roman" w:hAnsi="Times New Roman" w:cs="Times New Roman"/>
          <w:b/>
          <w:color w:val="000000"/>
          <w:sz w:val="24"/>
          <w:szCs w:val="24"/>
        </w:rPr>
        <w:lastRenderedPageBreak/>
        <w:t>REFERENCIAS BIBLIOG</w:t>
      </w:r>
      <w:r w:rsidRPr="00DE1312">
        <w:rPr>
          <w:rFonts w:ascii="Times New Roman" w:eastAsia="Times New Roman" w:hAnsi="Times New Roman" w:cs="Times New Roman"/>
          <w:b/>
          <w:color w:val="000000"/>
          <w:sz w:val="24"/>
          <w:szCs w:val="24"/>
        </w:rPr>
        <w:t>R</w:t>
      </w:r>
      <w:r w:rsidR="00DE1312" w:rsidRPr="00DE1312">
        <w:rPr>
          <w:rFonts w:ascii="Times New Roman" w:eastAsia="Times New Roman" w:hAnsi="Times New Roman" w:cs="Times New Roman"/>
          <w:b/>
          <w:color w:val="000000"/>
          <w:sz w:val="24"/>
          <w:szCs w:val="24"/>
        </w:rPr>
        <w:t>Á</w:t>
      </w:r>
      <w:r w:rsidRPr="00DE1312">
        <w:rPr>
          <w:rFonts w:ascii="Times New Roman" w:eastAsia="Times New Roman" w:hAnsi="Times New Roman" w:cs="Times New Roman"/>
          <w:b/>
          <w:color w:val="000000"/>
          <w:sz w:val="24"/>
          <w:szCs w:val="24"/>
        </w:rPr>
        <w:t>FI</w:t>
      </w:r>
      <w:r>
        <w:rPr>
          <w:rFonts w:ascii="Times New Roman" w:eastAsia="Times New Roman" w:hAnsi="Times New Roman" w:cs="Times New Roman"/>
          <w:b/>
          <w:color w:val="000000"/>
          <w:sz w:val="24"/>
          <w:szCs w:val="24"/>
        </w:rPr>
        <w:t>CAS</w:t>
      </w:r>
      <w:bookmarkEnd w:id="33"/>
    </w:p>
    <w:p w14:paraId="03DEB695" w14:textId="77777777" w:rsidR="00051794" w:rsidRDefault="00051794" w:rsidP="008D19D2">
      <w:pPr>
        <w:spacing w:line="360" w:lineRule="auto"/>
        <w:rPr>
          <w:lang w:val="es-MX" w:eastAsia="es-MX"/>
        </w:rPr>
      </w:pPr>
    </w:p>
    <w:p w14:paraId="7F46C6A0" w14:textId="3791D5D3" w:rsidR="00D90B44" w:rsidRPr="0087216C" w:rsidRDefault="00D90B44" w:rsidP="00B939F3">
      <w:pPr>
        <w:pBdr>
          <w:top w:val="nil"/>
          <w:left w:val="nil"/>
          <w:bottom w:val="nil"/>
          <w:right w:val="nil"/>
          <w:between w:val="nil"/>
        </w:pBdr>
        <w:spacing w:line="240" w:lineRule="auto"/>
        <w:ind w:left="720" w:hanging="720"/>
        <w:jc w:val="both"/>
        <w:rPr>
          <w:rFonts w:ascii="Times New Roman" w:eastAsia="Arial" w:hAnsi="Times New Roman" w:cs="Times New Roman"/>
          <w:b/>
          <w:bCs/>
          <w:color w:val="000000"/>
          <w:sz w:val="24"/>
          <w:szCs w:val="24"/>
          <w:lang w:val="es-VE"/>
        </w:rPr>
      </w:pPr>
      <w:proofErr w:type="spellStart"/>
      <w:r w:rsidRPr="00A94B67">
        <w:rPr>
          <w:rFonts w:ascii="Times New Roman" w:eastAsia="Arial" w:hAnsi="Times New Roman" w:cs="Times New Roman"/>
          <w:color w:val="000000"/>
          <w:sz w:val="24"/>
          <w:szCs w:val="24"/>
          <w:lang w:val="es-VE"/>
        </w:rPr>
        <w:t>Abrill</w:t>
      </w:r>
      <w:proofErr w:type="spellEnd"/>
      <w:r w:rsidRPr="00A94B67">
        <w:rPr>
          <w:rFonts w:ascii="Times New Roman" w:eastAsia="Arial" w:hAnsi="Times New Roman" w:cs="Times New Roman"/>
          <w:color w:val="000000"/>
          <w:sz w:val="24"/>
          <w:szCs w:val="24"/>
          <w:lang w:val="es-VE"/>
        </w:rPr>
        <w:t xml:space="preserve">, A. G. (2019). </w:t>
      </w:r>
      <w:r w:rsidRPr="005035BA">
        <w:rPr>
          <w:rFonts w:ascii="Times New Roman" w:eastAsia="Arial" w:hAnsi="Times New Roman" w:cs="Times New Roman"/>
          <w:i/>
          <w:iCs/>
          <w:color w:val="000000"/>
          <w:sz w:val="24"/>
          <w:szCs w:val="24"/>
          <w:lang w:val="es-VE"/>
        </w:rPr>
        <w:t xml:space="preserve">Análisis del bien jurídico, </w:t>
      </w:r>
      <w:r w:rsidR="005035BA" w:rsidRPr="005035BA">
        <w:rPr>
          <w:rFonts w:ascii="Times New Roman" w:eastAsia="Arial" w:hAnsi="Times New Roman" w:cs="Times New Roman"/>
          <w:i/>
          <w:iCs/>
          <w:color w:val="000000"/>
          <w:sz w:val="24"/>
          <w:szCs w:val="24"/>
          <w:lang w:val="es-VE"/>
        </w:rPr>
        <w:t>libertad e indemnidad sexuales</w:t>
      </w:r>
      <w:r w:rsidRPr="005035BA">
        <w:rPr>
          <w:rFonts w:ascii="Times New Roman" w:eastAsia="Arial" w:hAnsi="Times New Roman" w:cs="Times New Roman"/>
          <w:i/>
          <w:iCs/>
          <w:color w:val="000000"/>
          <w:sz w:val="24"/>
          <w:szCs w:val="24"/>
          <w:lang w:val="es-VE"/>
        </w:rPr>
        <w:t xml:space="preserve"> del código penal peruano </w:t>
      </w:r>
      <w:r w:rsidRPr="00A94B67">
        <w:rPr>
          <w:rFonts w:ascii="Times New Roman" w:eastAsia="Arial" w:hAnsi="Times New Roman" w:cs="Times New Roman"/>
          <w:color w:val="000000"/>
          <w:sz w:val="24"/>
          <w:szCs w:val="24"/>
          <w:lang w:val="es-VE"/>
        </w:rPr>
        <w:t xml:space="preserve">[Tesis de maestría, Universidad Nacional de San Agustín de Arequipa]. Repositorio Institucional de la UNSA. </w:t>
      </w:r>
      <w:r w:rsidR="007F2F69" w:rsidRPr="00A94B67">
        <w:rPr>
          <w:rFonts w:ascii="Times New Roman" w:eastAsia="Arial" w:hAnsi="Times New Roman" w:cs="Times New Roman"/>
          <w:color w:val="000000"/>
          <w:sz w:val="24"/>
          <w:szCs w:val="24"/>
          <w:lang w:val="es-VE"/>
        </w:rPr>
        <w:t>http://repositorio.unsa.edu.pe/bitstream/handle/UNSA/8485/DEMabarga.pdf?sequence=1&amp;isAllowed=y</w:t>
      </w:r>
    </w:p>
    <w:p w14:paraId="5A0CBC3B" w14:textId="77777777" w:rsidR="003F0538" w:rsidRDefault="007F2F69" w:rsidP="00B939F3">
      <w:pPr>
        <w:spacing w:line="240" w:lineRule="auto"/>
        <w:ind w:left="709" w:hanging="709"/>
        <w:jc w:val="both"/>
        <w:rPr>
          <w:rFonts w:ascii="Times New Roman" w:hAnsi="Times New Roman" w:cs="Times New Roman"/>
          <w:sz w:val="24"/>
          <w:szCs w:val="24"/>
        </w:rPr>
      </w:pPr>
      <w:r w:rsidRPr="007F2F69">
        <w:rPr>
          <w:rFonts w:ascii="Times New Roman" w:eastAsia="Arial" w:hAnsi="Times New Roman" w:cs="Times New Roman"/>
          <w:color w:val="000000"/>
          <w:sz w:val="24"/>
          <w:szCs w:val="24"/>
          <w:lang w:val="en-US"/>
        </w:rPr>
        <w:t>Albert, B., Brown, S., y Flanigan, C. M. (2003).</w:t>
      </w:r>
      <w:r w:rsidRPr="005035BA">
        <w:rPr>
          <w:rFonts w:ascii="Times New Roman" w:eastAsia="Arial" w:hAnsi="Times New Roman" w:cs="Times New Roman"/>
          <w:i/>
          <w:iCs/>
          <w:color w:val="000000"/>
          <w:sz w:val="24"/>
          <w:szCs w:val="24"/>
          <w:lang w:val="en-US"/>
        </w:rPr>
        <w:t xml:space="preserve"> </w:t>
      </w:r>
      <w:r w:rsidRPr="005035BA">
        <w:rPr>
          <w:rFonts w:ascii="Times New Roman" w:eastAsia="Arial" w:hAnsi="Times New Roman" w:cs="Times New Roman"/>
          <w:i/>
          <w:iCs/>
          <w:color w:val="000000"/>
          <w:sz w:val="24"/>
          <w:szCs w:val="24"/>
          <w:lang w:val="es-VE"/>
        </w:rPr>
        <w:t>14 y Menores: El Comportamiento Sexual de los Jóvenes Adolescentes</w:t>
      </w:r>
      <w:r w:rsidRPr="007F2F69">
        <w:rPr>
          <w:rFonts w:ascii="Times New Roman" w:eastAsia="Arial" w:hAnsi="Times New Roman" w:cs="Times New Roman"/>
          <w:color w:val="000000"/>
          <w:sz w:val="24"/>
          <w:szCs w:val="24"/>
          <w:lang w:val="es-VE"/>
        </w:rPr>
        <w:t>. Washington, DC: Campaña Nacional para Prevenir el Embarazo Adolescente.</w:t>
      </w:r>
      <w:r w:rsidR="003F0538" w:rsidRPr="003F0538">
        <w:rPr>
          <w:rFonts w:ascii="Times New Roman" w:hAnsi="Times New Roman" w:cs="Times New Roman"/>
          <w:sz w:val="24"/>
          <w:szCs w:val="24"/>
        </w:rPr>
        <w:t xml:space="preserve"> </w:t>
      </w:r>
    </w:p>
    <w:p w14:paraId="553A6EC9" w14:textId="24E61847" w:rsidR="003F0538" w:rsidRPr="003F0538" w:rsidRDefault="003F0538" w:rsidP="00B939F3">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Asamblea Nacional Constituyente. </w:t>
      </w:r>
      <w:r w:rsidRPr="00554F93">
        <w:rPr>
          <w:rFonts w:ascii="Times New Roman" w:hAnsi="Times New Roman" w:cs="Times New Roman"/>
          <w:sz w:val="24"/>
          <w:szCs w:val="24"/>
        </w:rPr>
        <w:t>Constitución Política de Colombia.</w:t>
      </w:r>
      <w:r w:rsidRPr="0003429B">
        <w:rPr>
          <w:rFonts w:ascii="Times New Roman" w:hAnsi="Times New Roman" w:cs="Times New Roman"/>
          <w:sz w:val="24"/>
          <w:szCs w:val="24"/>
        </w:rPr>
        <w:t xml:space="preserve"> (1991). https://pdba.georgetown.edu/Constitutions/Colombia/colombia91.pdf</w:t>
      </w:r>
    </w:p>
    <w:p w14:paraId="63291600" w14:textId="455E3F61" w:rsidR="007F2F69" w:rsidRDefault="007F2F6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proofErr w:type="spellStart"/>
      <w:r w:rsidRPr="007F2F69">
        <w:rPr>
          <w:rFonts w:ascii="Times New Roman" w:eastAsia="Arial" w:hAnsi="Times New Roman" w:cs="Times New Roman"/>
          <w:color w:val="000000"/>
          <w:sz w:val="24"/>
          <w:szCs w:val="24"/>
          <w:lang w:val="es-VE"/>
        </w:rPr>
        <w:t>Bankole</w:t>
      </w:r>
      <w:proofErr w:type="spellEnd"/>
      <w:r w:rsidRPr="007F2F69">
        <w:rPr>
          <w:rFonts w:ascii="Times New Roman" w:eastAsia="Arial" w:hAnsi="Times New Roman" w:cs="Times New Roman"/>
          <w:color w:val="000000"/>
          <w:sz w:val="24"/>
          <w:szCs w:val="24"/>
          <w:lang w:val="es-VE"/>
        </w:rPr>
        <w:t xml:space="preserve">, A., </w:t>
      </w:r>
      <w:proofErr w:type="spellStart"/>
      <w:r w:rsidRPr="007F2F69">
        <w:rPr>
          <w:rFonts w:ascii="Times New Roman" w:eastAsia="Arial" w:hAnsi="Times New Roman" w:cs="Times New Roman"/>
          <w:color w:val="000000"/>
          <w:sz w:val="24"/>
          <w:szCs w:val="24"/>
          <w:lang w:val="es-VE"/>
        </w:rPr>
        <w:t>Biddlecom</w:t>
      </w:r>
      <w:proofErr w:type="spellEnd"/>
      <w:r w:rsidRPr="007F2F69">
        <w:rPr>
          <w:rFonts w:ascii="Times New Roman" w:eastAsia="Arial" w:hAnsi="Times New Roman" w:cs="Times New Roman"/>
          <w:color w:val="000000"/>
          <w:sz w:val="24"/>
          <w:szCs w:val="24"/>
          <w:lang w:val="es-VE"/>
        </w:rPr>
        <w:t xml:space="preserve">, A. E., </w:t>
      </w:r>
      <w:proofErr w:type="spellStart"/>
      <w:r w:rsidRPr="007F2F69">
        <w:rPr>
          <w:rFonts w:ascii="Times New Roman" w:eastAsia="Arial" w:hAnsi="Times New Roman" w:cs="Times New Roman"/>
          <w:color w:val="000000"/>
          <w:sz w:val="24"/>
          <w:szCs w:val="24"/>
          <w:lang w:val="es-VE"/>
        </w:rPr>
        <w:t>Guiella</w:t>
      </w:r>
      <w:proofErr w:type="spellEnd"/>
      <w:r w:rsidRPr="007F2F69">
        <w:rPr>
          <w:rFonts w:ascii="Times New Roman" w:eastAsia="Arial" w:hAnsi="Times New Roman" w:cs="Times New Roman"/>
          <w:color w:val="000000"/>
          <w:sz w:val="24"/>
          <w:szCs w:val="24"/>
          <w:lang w:val="es-VE"/>
        </w:rPr>
        <w:t xml:space="preserve">, G., Singh, S. y </w:t>
      </w:r>
      <w:proofErr w:type="spellStart"/>
      <w:r w:rsidRPr="007F2F69">
        <w:rPr>
          <w:rFonts w:ascii="Times New Roman" w:eastAsia="Arial" w:hAnsi="Times New Roman" w:cs="Times New Roman"/>
          <w:color w:val="000000"/>
          <w:sz w:val="24"/>
          <w:szCs w:val="24"/>
          <w:lang w:val="es-VE"/>
        </w:rPr>
        <w:t>Zulu</w:t>
      </w:r>
      <w:proofErr w:type="spellEnd"/>
      <w:r w:rsidRPr="007F2F69">
        <w:rPr>
          <w:rFonts w:ascii="Times New Roman" w:eastAsia="Arial" w:hAnsi="Times New Roman" w:cs="Times New Roman"/>
          <w:color w:val="000000"/>
          <w:sz w:val="24"/>
          <w:szCs w:val="24"/>
          <w:lang w:val="es-VE"/>
        </w:rPr>
        <w:t xml:space="preserve">, E. M. (2007). Conducta sexual, conocimiento y fuentes de información de los adolescentes muy jóvenes en cuatro países de África subsahariana. </w:t>
      </w:r>
      <w:r w:rsidRPr="007F2F69">
        <w:rPr>
          <w:rFonts w:ascii="Times New Roman" w:eastAsia="Arial" w:hAnsi="Times New Roman" w:cs="Times New Roman"/>
          <w:i/>
          <w:iCs/>
          <w:color w:val="000000"/>
          <w:sz w:val="24"/>
          <w:szCs w:val="24"/>
          <w:lang w:val="en-US"/>
        </w:rPr>
        <w:t>African Journal of Reproductive Health</w:t>
      </w:r>
      <w:r w:rsidRPr="007F2F69">
        <w:rPr>
          <w:rFonts w:ascii="Times New Roman" w:eastAsia="Arial" w:hAnsi="Times New Roman" w:cs="Times New Roman"/>
          <w:color w:val="000000"/>
          <w:sz w:val="24"/>
          <w:szCs w:val="24"/>
          <w:lang w:val="en-US"/>
        </w:rPr>
        <w:t>, 11(3), 28-43.</w:t>
      </w:r>
    </w:p>
    <w:p w14:paraId="4CA208E0" w14:textId="2099D03C" w:rsidR="00AB1A24" w:rsidRDefault="00AB1A2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BD29A6">
        <w:rPr>
          <w:rFonts w:ascii="Times New Roman" w:eastAsia="Arial" w:hAnsi="Times New Roman" w:cs="Times New Roman"/>
          <w:color w:val="000000"/>
          <w:sz w:val="24"/>
          <w:szCs w:val="24"/>
          <w:lang w:val="en-US"/>
        </w:rPr>
        <w:t xml:space="preserve">Breinbauer, C. y Maddaleno, M. (2005). </w:t>
      </w:r>
      <w:r w:rsidRPr="00AB1A24">
        <w:rPr>
          <w:rFonts w:ascii="Times New Roman" w:eastAsia="Arial" w:hAnsi="Times New Roman" w:cs="Times New Roman"/>
          <w:color w:val="000000"/>
          <w:sz w:val="24"/>
          <w:szCs w:val="24"/>
          <w:lang w:val="es-VE"/>
        </w:rPr>
        <w:t xml:space="preserve">Jóvenes: Elecciones y cambios. Promoviendo comportamientos saludables en los adolescentes. </w:t>
      </w:r>
      <w:r w:rsidRPr="00A436BB">
        <w:rPr>
          <w:rFonts w:ascii="Times New Roman" w:eastAsia="Arial" w:hAnsi="Times New Roman" w:cs="Times New Roman"/>
          <w:i/>
          <w:iCs/>
          <w:color w:val="000000"/>
          <w:sz w:val="24"/>
          <w:szCs w:val="24"/>
          <w:lang w:val="es-VE"/>
        </w:rPr>
        <w:t>Publicación Científica y Técnica</w:t>
      </w:r>
      <w:r w:rsidRPr="00AB1A24">
        <w:rPr>
          <w:rFonts w:ascii="Times New Roman" w:eastAsia="Arial" w:hAnsi="Times New Roman" w:cs="Times New Roman"/>
          <w:color w:val="000000"/>
          <w:sz w:val="24"/>
          <w:szCs w:val="24"/>
          <w:lang w:val="es-VE"/>
        </w:rPr>
        <w:t xml:space="preserve"> No. 594. Washington, DC: Organización Panamericana de la Salud.</w:t>
      </w:r>
    </w:p>
    <w:p w14:paraId="47D65068" w14:textId="0432F05E" w:rsidR="00D049C9" w:rsidRPr="007F2F69" w:rsidRDefault="00D049C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D049C9">
        <w:rPr>
          <w:rFonts w:ascii="Times New Roman" w:eastAsia="Arial" w:hAnsi="Times New Roman" w:cs="Times New Roman"/>
          <w:color w:val="000000"/>
          <w:sz w:val="24"/>
          <w:szCs w:val="24"/>
          <w:lang w:val="es-VE"/>
        </w:rPr>
        <w:t xml:space="preserve">Bruce, J., &amp; Chong, E. (2006). </w:t>
      </w:r>
      <w:r w:rsidRPr="00A436BB">
        <w:rPr>
          <w:rFonts w:ascii="Times New Roman" w:eastAsia="Arial" w:hAnsi="Times New Roman" w:cs="Times New Roman"/>
          <w:i/>
          <w:iCs/>
          <w:color w:val="000000"/>
          <w:sz w:val="24"/>
          <w:szCs w:val="24"/>
          <w:lang w:val="es-VE"/>
        </w:rPr>
        <w:t>El universo diverso de los adolescentes y las niñas y los niños que quedan atrás: Una nota sobre las prioridades de investigación, programas y políticas. Documento de antecedentes para Elecciones públicas, decisiones privadas: Salud sexual y reproductiva y los Objetivos de Desarrollo del Milenio</w:t>
      </w:r>
      <w:r w:rsidRPr="00D049C9">
        <w:rPr>
          <w:rFonts w:ascii="Times New Roman" w:eastAsia="Arial" w:hAnsi="Times New Roman" w:cs="Times New Roman"/>
          <w:color w:val="000000"/>
          <w:sz w:val="24"/>
          <w:szCs w:val="24"/>
          <w:lang w:val="es-VE"/>
        </w:rPr>
        <w:t xml:space="preserve">. Nueva York: Proyecto del Milenio. </w:t>
      </w:r>
      <w:r w:rsidR="007F2F69" w:rsidRPr="007F2F69">
        <w:rPr>
          <w:rFonts w:ascii="Times New Roman" w:eastAsia="Arial" w:hAnsi="Times New Roman" w:cs="Times New Roman"/>
          <w:color w:val="000000"/>
          <w:sz w:val="24"/>
          <w:szCs w:val="24"/>
          <w:lang w:val="es-VE"/>
        </w:rPr>
        <w:t>https://www.unmillenniumproject.org/documents/Background%20papers/PubChoice-JudyBruce.pdf</w:t>
      </w:r>
    </w:p>
    <w:p w14:paraId="48E52FA3" w14:textId="03945C8F" w:rsidR="007F2F69" w:rsidRDefault="007F2F6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r w:rsidRPr="007F2F69">
        <w:rPr>
          <w:rFonts w:ascii="Times New Roman" w:eastAsia="Arial" w:hAnsi="Times New Roman" w:cs="Times New Roman"/>
          <w:color w:val="000000"/>
          <w:sz w:val="24"/>
          <w:szCs w:val="24"/>
          <w:lang w:val="en-US"/>
        </w:rPr>
        <w:t xml:space="preserve">Bullough, V. L. y Bullough, B. (Eds.). (1994). Human Sexuality: </w:t>
      </w:r>
      <w:r w:rsidRPr="007F2F69">
        <w:rPr>
          <w:rFonts w:ascii="Times New Roman" w:eastAsia="Arial" w:hAnsi="Times New Roman" w:cs="Times New Roman"/>
          <w:i/>
          <w:iCs/>
          <w:color w:val="000000"/>
          <w:sz w:val="24"/>
          <w:szCs w:val="24"/>
          <w:lang w:val="en-US"/>
        </w:rPr>
        <w:t>An Encyclopedia.</w:t>
      </w:r>
      <w:r w:rsidRPr="007F2F69">
        <w:rPr>
          <w:rFonts w:ascii="Times New Roman" w:eastAsia="Arial" w:hAnsi="Times New Roman" w:cs="Times New Roman"/>
          <w:color w:val="000000"/>
          <w:sz w:val="24"/>
          <w:szCs w:val="24"/>
          <w:lang w:val="en-US"/>
        </w:rPr>
        <w:t xml:space="preserve"> Nueva York: Garland Science.</w:t>
      </w:r>
    </w:p>
    <w:p w14:paraId="7C42D80F" w14:textId="7A846F9B" w:rsidR="00A94B67" w:rsidRPr="00A94B67" w:rsidRDefault="00A94B67"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Pr>
          <w:rFonts w:ascii="Times New Roman" w:eastAsia="Arial" w:hAnsi="Times New Roman" w:cs="Times New Roman"/>
          <w:color w:val="000000"/>
          <w:sz w:val="24"/>
          <w:szCs w:val="24"/>
          <w:lang w:val="es-VE"/>
        </w:rPr>
        <w:t>C</w:t>
      </w:r>
      <w:r w:rsidRPr="00A94B67">
        <w:rPr>
          <w:rFonts w:ascii="Times New Roman" w:eastAsia="Arial" w:hAnsi="Times New Roman" w:cs="Times New Roman"/>
          <w:color w:val="000000"/>
          <w:sz w:val="24"/>
          <w:szCs w:val="24"/>
          <w:lang w:val="es-VE"/>
        </w:rPr>
        <w:t xml:space="preserve">ámara de Representantes. (2021). La ley de cadena perpetua para violadores de niños, niñas y adolescentes en Colombia es una realidad. </w:t>
      </w:r>
      <w:r w:rsidRPr="00A94B67">
        <w:rPr>
          <w:rFonts w:ascii="Times New Roman" w:eastAsia="Arial" w:hAnsi="Times New Roman" w:cs="Times New Roman"/>
          <w:i/>
          <w:iCs/>
          <w:color w:val="000000"/>
          <w:sz w:val="24"/>
          <w:szCs w:val="24"/>
          <w:lang w:val="es-VE"/>
        </w:rPr>
        <w:t>Cámara de Representantes.</w:t>
      </w:r>
      <w:r w:rsidRPr="00A94B67">
        <w:rPr>
          <w:rFonts w:ascii="Times New Roman" w:eastAsia="Arial" w:hAnsi="Times New Roman" w:cs="Times New Roman"/>
          <w:color w:val="000000"/>
          <w:sz w:val="24"/>
          <w:szCs w:val="24"/>
          <w:lang w:val="es-VE"/>
        </w:rPr>
        <w:t xml:space="preserve"> https://www.camara.gov.co/la-ley-de-cadena-perpetua-para-violadores-de-ninos-nina-y-adolescentes-en-colombia-es-una-realidad</w:t>
      </w:r>
    </w:p>
    <w:p w14:paraId="19310A79" w14:textId="1B616CB7" w:rsidR="007F2F69" w:rsidRPr="00AB1A24" w:rsidRDefault="007F2F6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7F2F69">
        <w:rPr>
          <w:rFonts w:ascii="Times New Roman" w:eastAsia="Arial" w:hAnsi="Times New Roman" w:cs="Times New Roman"/>
          <w:color w:val="000000"/>
          <w:sz w:val="24"/>
          <w:szCs w:val="24"/>
          <w:lang w:val="en-US"/>
        </w:rPr>
        <w:t xml:space="preserve">Cook, R. y Dickens, B. (2000). </w:t>
      </w:r>
      <w:r w:rsidRPr="007F2F69">
        <w:rPr>
          <w:rFonts w:ascii="Times New Roman" w:eastAsia="Arial" w:hAnsi="Times New Roman" w:cs="Times New Roman"/>
          <w:color w:val="000000"/>
          <w:sz w:val="24"/>
          <w:szCs w:val="24"/>
          <w:lang w:val="es-VE"/>
        </w:rPr>
        <w:t xml:space="preserve">Reconocer las "capacidades en evolución" de los adolescentes para ejercer elecciones en atención de salud reproductiva. </w:t>
      </w:r>
      <w:r w:rsidRPr="007F2F69">
        <w:rPr>
          <w:rFonts w:ascii="Times New Roman" w:eastAsia="Arial" w:hAnsi="Times New Roman" w:cs="Times New Roman"/>
          <w:i/>
          <w:iCs/>
          <w:color w:val="000000"/>
          <w:sz w:val="24"/>
          <w:szCs w:val="24"/>
          <w:lang w:val="es-VE"/>
        </w:rPr>
        <w:t xml:space="preserve">International </w:t>
      </w:r>
      <w:proofErr w:type="spellStart"/>
      <w:r w:rsidRPr="007F2F69">
        <w:rPr>
          <w:rFonts w:ascii="Times New Roman" w:eastAsia="Arial" w:hAnsi="Times New Roman" w:cs="Times New Roman"/>
          <w:i/>
          <w:iCs/>
          <w:color w:val="000000"/>
          <w:sz w:val="24"/>
          <w:szCs w:val="24"/>
          <w:lang w:val="es-VE"/>
        </w:rPr>
        <w:t>Journal</w:t>
      </w:r>
      <w:proofErr w:type="spellEnd"/>
      <w:r w:rsidRPr="007F2F69">
        <w:rPr>
          <w:rFonts w:ascii="Times New Roman" w:eastAsia="Arial" w:hAnsi="Times New Roman" w:cs="Times New Roman"/>
          <w:i/>
          <w:iCs/>
          <w:color w:val="000000"/>
          <w:sz w:val="24"/>
          <w:szCs w:val="24"/>
          <w:lang w:val="es-VE"/>
        </w:rPr>
        <w:t xml:space="preserve"> </w:t>
      </w:r>
      <w:proofErr w:type="spellStart"/>
      <w:r w:rsidRPr="007F2F69">
        <w:rPr>
          <w:rFonts w:ascii="Times New Roman" w:eastAsia="Arial" w:hAnsi="Times New Roman" w:cs="Times New Roman"/>
          <w:i/>
          <w:iCs/>
          <w:color w:val="000000"/>
          <w:sz w:val="24"/>
          <w:szCs w:val="24"/>
          <w:lang w:val="es-VE"/>
        </w:rPr>
        <w:t>of</w:t>
      </w:r>
      <w:proofErr w:type="spellEnd"/>
      <w:r w:rsidRPr="007F2F69">
        <w:rPr>
          <w:rFonts w:ascii="Times New Roman" w:eastAsia="Arial" w:hAnsi="Times New Roman" w:cs="Times New Roman"/>
          <w:i/>
          <w:iCs/>
          <w:color w:val="000000"/>
          <w:sz w:val="24"/>
          <w:szCs w:val="24"/>
          <w:lang w:val="es-VE"/>
        </w:rPr>
        <w:t xml:space="preserve"> </w:t>
      </w:r>
      <w:proofErr w:type="spellStart"/>
      <w:r w:rsidRPr="007F2F69">
        <w:rPr>
          <w:rFonts w:ascii="Times New Roman" w:eastAsia="Arial" w:hAnsi="Times New Roman" w:cs="Times New Roman"/>
          <w:i/>
          <w:iCs/>
          <w:color w:val="000000"/>
          <w:sz w:val="24"/>
          <w:szCs w:val="24"/>
          <w:lang w:val="es-VE"/>
        </w:rPr>
        <w:t>Gynecology</w:t>
      </w:r>
      <w:proofErr w:type="spellEnd"/>
      <w:r w:rsidRPr="007F2F69">
        <w:rPr>
          <w:rFonts w:ascii="Times New Roman" w:eastAsia="Arial" w:hAnsi="Times New Roman" w:cs="Times New Roman"/>
          <w:i/>
          <w:iCs/>
          <w:color w:val="000000"/>
          <w:sz w:val="24"/>
          <w:szCs w:val="24"/>
          <w:lang w:val="es-VE"/>
        </w:rPr>
        <w:t xml:space="preserve"> &amp; </w:t>
      </w:r>
      <w:proofErr w:type="spellStart"/>
      <w:r w:rsidRPr="007F2F69">
        <w:rPr>
          <w:rFonts w:ascii="Times New Roman" w:eastAsia="Arial" w:hAnsi="Times New Roman" w:cs="Times New Roman"/>
          <w:i/>
          <w:iCs/>
          <w:color w:val="000000"/>
          <w:sz w:val="24"/>
          <w:szCs w:val="24"/>
          <w:lang w:val="es-VE"/>
        </w:rPr>
        <w:t>Obstetrics</w:t>
      </w:r>
      <w:proofErr w:type="spellEnd"/>
      <w:r w:rsidRPr="007F2F69">
        <w:rPr>
          <w:rFonts w:ascii="Times New Roman" w:eastAsia="Arial" w:hAnsi="Times New Roman" w:cs="Times New Roman"/>
          <w:i/>
          <w:iCs/>
          <w:color w:val="000000"/>
          <w:sz w:val="24"/>
          <w:szCs w:val="24"/>
          <w:lang w:val="es-VE"/>
        </w:rPr>
        <w:t>,</w:t>
      </w:r>
      <w:r w:rsidRPr="007F2F69">
        <w:rPr>
          <w:rFonts w:ascii="Times New Roman" w:eastAsia="Arial" w:hAnsi="Times New Roman" w:cs="Times New Roman"/>
          <w:color w:val="000000"/>
          <w:sz w:val="24"/>
          <w:szCs w:val="24"/>
          <w:lang w:val="es-VE"/>
        </w:rPr>
        <w:t xml:space="preserve"> 70(1), 13-21.</w:t>
      </w:r>
    </w:p>
    <w:p w14:paraId="10D845B2" w14:textId="699D5510" w:rsidR="00AE050E" w:rsidRDefault="00AE050E"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E050E">
        <w:rPr>
          <w:rFonts w:ascii="Times New Roman" w:eastAsia="Arial" w:hAnsi="Times New Roman" w:cs="Times New Roman"/>
          <w:color w:val="000000"/>
          <w:sz w:val="24"/>
          <w:szCs w:val="24"/>
        </w:rPr>
        <w:t xml:space="preserve">Campos, A. P. (2019). </w:t>
      </w:r>
      <w:r w:rsidRPr="00A436BB">
        <w:rPr>
          <w:rFonts w:ascii="Times New Roman" w:eastAsia="Arial" w:hAnsi="Times New Roman" w:cs="Times New Roman"/>
          <w:i/>
          <w:iCs/>
          <w:color w:val="000000"/>
          <w:sz w:val="24"/>
          <w:szCs w:val="24"/>
        </w:rPr>
        <w:t>Análisis del bien jurídico protegido en el delito de abuso sexual</w:t>
      </w:r>
      <w:r w:rsidRPr="00AE050E">
        <w:rPr>
          <w:rFonts w:ascii="Times New Roman" w:eastAsia="Arial" w:hAnsi="Times New Roman" w:cs="Times New Roman"/>
          <w:color w:val="000000"/>
          <w:sz w:val="24"/>
          <w:szCs w:val="24"/>
        </w:rPr>
        <w:t xml:space="preserve">. [Trabajo de titulación de Magister en Derecho, Universidad de Chile]. </w:t>
      </w:r>
      <w:r w:rsidR="00D049C9" w:rsidRPr="00D049C9">
        <w:rPr>
          <w:rFonts w:ascii="Times New Roman" w:eastAsia="Arial" w:hAnsi="Times New Roman" w:cs="Times New Roman"/>
          <w:color w:val="000000"/>
          <w:sz w:val="24"/>
          <w:szCs w:val="24"/>
        </w:rPr>
        <w:t>https://repositorio.uchile.cl/bitstream/handle/2250/173120/Analisis-del-bien-juridico-protegido-en-el-delito-de-abuso-sexual.pdf?sequence=1</w:t>
      </w:r>
    </w:p>
    <w:p w14:paraId="10B90CD3" w14:textId="12EEACFD" w:rsidR="00D049C9" w:rsidRPr="00AE050E" w:rsidRDefault="00D049C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D049C9">
        <w:rPr>
          <w:rFonts w:ascii="Times New Roman" w:eastAsia="Arial" w:hAnsi="Times New Roman" w:cs="Times New Roman"/>
          <w:color w:val="000000"/>
          <w:sz w:val="24"/>
          <w:szCs w:val="24"/>
        </w:rPr>
        <w:lastRenderedPageBreak/>
        <w:t xml:space="preserve">Campbell, B. (2003). </w:t>
      </w:r>
      <w:r w:rsidRPr="00A436BB">
        <w:rPr>
          <w:rFonts w:ascii="Times New Roman" w:eastAsia="Arial" w:hAnsi="Times New Roman" w:cs="Times New Roman"/>
          <w:i/>
          <w:iCs/>
          <w:color w:val="000000"/>
          <w:sz w:val="24"/>
          <w:szCs w:val="24"/>
        </w:rPr>
        <w:t>Maduración puberal, adrenarquia y el inicio de la reproducción en hombres humanos.</w:t>
      </w:r>
      <w:r w:rsidRPr="00D049C9">
        <w:rPr>
          <w:rFonts w:ascii="Times New Roman" w:eastAsia="Arial" w:hAnsi="Times New Roman" w:cs="Times New Roman"/>
          <w:color w:val="000000"/>
          <w:sz w:val="24"/>
          <w:szCs w:val="24"/>
        </w:rPr>
        <w:t xml:space="preserve"> En K. W. </w:t>
      </w:r>
      <w:proofErr w:type="spellStart"/>
      <w:r w:rsidRPr="00D049C9">
        <w:rPr>
          <w:rFonts w:ascii="Times New Roman" w:eastAsia="Arial" w:hAnsi="Times New Roman" w:cs="Times New Roman"/>
          <w:color w:val="000000"/>
          <w:sz w:val="24"/>
          <w:szCs w:val="24"/>
        </w:rPr>
        <w:t>Wachter</w:t>
      </w:r>
      <w:proofErr w:type="spellEnd"/>
      <w:r w:rsidRPr="00D049C9">
        <w:rPr>
          <w:rFonts w:ascii="Times New Roman" w:eastAsia="Arial" w:hAnsi="Times New Roman" w:cs="Times New Roman"/>
          <w:color w:val="000000"/>
          <w:sz w:val="24"/>
          <w:szCs w:val="24"/>
        </w:rPr>
        <w:t xml:space="preserve"> y R. A. </w:t>
      </w:r>
      <w:proofErr w:type="spellStart"/>
      <w:r w:rsidRPr="00D049C9">
        <w:rPr>
          <w:rFonts w:ascii="Times New Roman" w:eastAsia="Arial" w:hAnsi="Times New Roman" w:cs="Times New Roman"/>
          <w:color w:val="000000"/>
          <w:sz w:val="24"/>
          <w:szCs w:val="24"/>
        </w:rPr>
        <w:t>Bulatao</w:t>
      </w:r>
      <w:proofErr w:type="spellEnd"/>
      <w:r w:rsidRPr="00D049C9">
        <w:rPr>
          <w:rFonts w:ascii="Times New Roman" w:eastAsia="Arial" w:hAnsi="Times New Roman" w:cs="Times New Roman"/>
          <w:color w:val="000000"/>
          <w:sz w:val="24"/>
          <w:szCs w:val="24"/>
        </w:rPr>
        <w:t xml:space="preserve"> (Eds.), </w:t>
      </w:r>
      <w:proofErr w:type="spellStart"/>
      <w:r w:rsidRPr="00D049C9">
        <w:rPr>
          <w:rFonts w:ascii="Times New Roman" w:eastAsia="Arial" w:hAnsi="Times New Roman" w:cs="Times New Roman"/>
          <w:color w:val="000000"/>
          <w:sz w:val="24"/>
          <w:szCs w:val="24"/>
        </w:rPr>
        <w:t>Offspring</w:t>
      </w:r>
      <w:proofErr w:type="spellEnd"/>
      <w:r w:rsidRPr="00D049C9">
        <w:rPr>
          <w:rFonts w:ascii="Times New Roman" w:eastAsia="Arial" w:hAnsi="Times New Roman" w:cs="Times New Roman"/>
          <w:color w:val="000000"/>
          <w:sz w:val="24"/>
          <w:szCs w:val="24"/>
        </w:rPr>
        <w:t xml:space="preserve">: La </w:t>
      </w:r>
      <w:proofErr w:type="spellStart"/>
      <w:r w:rsidRPr="00D049C9">
        <w:rPr>
          <w:rFonts w:ascii="Times New Roman" w:eastAsia="Arial" w:hAnsi="Times New Roman" w:cs="Times New Roman"/>
          <w:color w:val="000000"/>
          <w:sz w:val="24"/>
          <w:szCs w:val="24"/>
        </w:rPr>
        <w:t>biodemografía</w:t>
      </w:r>
      <w:proofErr w:type="spellEnd"/>
      <w:r w:rsidRPr="00D049C9">
        <w:rPr>
          <w:rFonts w:ascii="Times New Roman" w:eastAsia="Arial" w:hAnsi="Times New Roman" w:cs="Times New Roman"/>
          <w:color w:val="000000"/>
          <w:sz w:val="24"/>
          <w:szCs w:val="24"/>
        </w:rPr>
        <w:t xml:space="preserve"> de la fertilidad y el comportamiento familiar (pp. 260-288). Washington, DC: </w:t>
      </w:r>
      <w:proofErr w:type="spellStart"/>
      <w:r w:rsidRPr="00D049C9">
        <w:rPr>
          <w:rFonts w:ascii="Times New Roman" w:eastAsia="Arial" w:hAnsi="Times New Roman" w:cs="Times New Roman"/>
          <w:color w:val="000000"/>
          <w:sz w:val="24"/>
          <w:szCs w:val="24"/>
        </w:rPr>
        <w:t>National</w:t>
      </w:r>
      <w:proofErr w:type="spellEnd"/>
      <w:r w:rsidRPr="00D049C9">
        <w:rPr>
          <w:rFonts w:ascii="Times New Roman" w:eastAsia="Arial" w:hAnsi="Times New Roman" w:cs="Times New Roman"/>
          <w:color w:val="000000"/>
          <w:sz w:val="24"/>
          <w:szCs w:val="24"/>
        </w:rPr>
        <w:t xml:space="preserve"> </w:t>
      </w:r>
      <w:proofErr w:type="spellStart"/>
      <w:r w:rsidRPr="00D049C9">
        <w:rPr>
          <w:rFonts w:ascii="Times New Roman" w:eastAsia="Arial" w:hAnsi="Times New Roman" w:cs="Times New Roman"/>
          <w:color w:val="000000"/>
          <w:sz w:val="24"/>
          <w:szCs w:val="24"/>
        </w:rPr>
        <w:t>Academies</w:t>
      </w:r>
      <w:proofErr w:type="spellEnd"/>
      <w:r w:rsidRPr="00D049C9">
        <w:rPr>
          <w:rFonts w:ascii="Times New Roman" w:eastAsia="Arial" w:hAnsi="Times New Roman" w:cs="Times New Roman"/>
          <w:color w:val="000000"/>
          <w:sz w:val="24"/>
          <w:szCs w:val="24"/>
        </w:rPr>
        <w:t xml:space="preserve"> </w:t>
      </w:r>
      <w:proofErr w:type="spellStart"/>
      <w:r w:rsidRPr="00D049C9">
        <w:rPr>
          <w:rFonts w:ascii="Times New Roman" w:eastAsia="Arial" w:hAnsi="Times New Roman" w:cs="Times New Roman"/>
          <w:color w:val="000000"/>
          <w:sz w:val="24"/>
          <w:szCs w:val="24"/>
        </w:rPr>
        <w:t>Press</w:t>
      </w:r>
      <w:proofErr w:type="spellEnd"/>
      <w:r w:rsidRPr="00D049C9">
        <w:rPr>
          <w:rFonts w:ascii="Times New Roman" w:eastAsia="Arial" w:hAnsi="Times New Roman" w:cs="Times New Roman"/>
          <w:color w:val="000000"/>
          <w:sz w:val="24"/>
          <w:szCs w:val="24"/>
        </w:rPr>
        <w:t>.</w:t>
      </w:r>
    </w:p>
    <w:p w14:paraId="2ED29599" w14:textId="45BA9228" w:rsidR="00AE050E" w:rsidRPr="00AE050E" w:rsidRDefault="00AE050E"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E050E">
        <w:rPr>
          <w:rFonts w:ascii="Times New Roman" w:eastAsia="Arial" w:hAnsi="Times New Roman" w:cs="Times New Roman"/>
          <w:color w:val="000000"/>
          <w:sz w:val="24"/>
          <w:szCs w:val="24"/>
        </w:rPr>
        <w:t xml:space="preserve">Carvajal, S.Y. (2020). </w:t>
      </w:r>
      <w:r w:rsidRPr="00A436BB">
        <w:rPr>
          <w:rFonts w:ascii="Times New Roman" w:eastAsia="Arial" w:hAnsi="Times New Roman" w:cs="Times New Roman"/>
          <w:i/>
          <w:iCs/>
          <w:color w:val="000000"/>
          <w:sz w:val="24"/>
          <w:szCs w:val="24"/>
        </w:rPr>
        <w:t>Abuso infantil en Colombia: análisis crítico de la normatividad aplicada</w:t>
      </w:r>
      <w:r w:rsidRPr="00AE050E">
        <w:rPr>
          <w:rFonts w:ascii="Times New Roman" w:eastAsia="Arial" w:hAnsi="Times New Roman" w:cs="Times New Roman"/>
          <w:color w:val="000000"/>
          <w:sz w:val="24"/>
          <w:szCs w:val="24"/>
        </w:rPr>
        <w:t>. [Trabajo de monografía, Universidad de Ciencias Aplicadas y Ambientales. U.D.C.A, Bogotá, Colombia]. https://repository.udca.edu.co/bitstream/handle/11158/3670/ABUSO%20SEXUAL%20INFANTIL%20EN%20COLOMBIA%20(Yenny%20Carvajal).pdf?sequence=1&amp;isAllowed=y</w:t>
      </w:r>
    </w:p>
    <w:p w14:paraId="024EC25F" w14:textId="1869740B" w:rsidR="0003429B" w:rsidRPr="0003429B" w:rsidRDefault="0003429B" w:rsidP="00B939F3">
      <w:pPr>
        <w:spacing w:line="240" w:lineRule="auto"/>
        <w:ind w:left="709" w:hanging="709"/>
        <w:jc w:val="both"/>
        <w:rPr>
          <w:rFonts w:ascii="Times New Roman" w:hAnsi="Times New Roman" w:cs="Times New Roman"/>
          <w:sz w:val="24"/>
          <w:szCs w:val="24"/>
        </w:rPr>
      </w:pPr>
      <w:r w:rsidRPr="0003429B">
        <w:rPr>
          <w:rFonts w:ascii="Times New Roman" w:hAnsi="Times New Roman" w:cs="Times New Roman"/>
          <w:sz w:val="24"/>
          <w:szCs w:val="24"/>
        </w:rPr>
        <w:t>Congreso de Colombia. (2000). Ley 599</w:t>
      </w:r>
      <w:r w:rsidR="00DE1312">
        <w:rPr>
          <w:rFonts w:ascii="Times New Roman" w:hAnsi="Times New Roman" w:cs="Times New Roman"/>
          <w:sz w:val="24"/>
          <w:szCs w:val="24"/>
        </w:rPr>
        <w:t xml:space="preserve">. </w:t>
      </w:r>
      <w:r w:rsidRPr="0003429B">
        <w:rPr>
          <w:rFonts w:ascii="Times New Roman" w:hAnsi="Times New Roman" w:cs="Times New Roman"/>
          <w:sz w:val="24"/>
          <w:szCs w:val="24"/>
        </w:rPr>
        <w:t xml:space="preserve"> </w:t>
      </w:r>
      <w:r w:rsidR="00DE1312">
        <w:rPr>
          <w:rFonts w:ascii="Times New Roman" w:hAnsi="Times New Roman" w:cs="Times New Roman"/>
          <w:sz w:val="24"/>
          <w:szCs w:val="24"/>
        </w:rPr>
        <w:t>P</w:t>
      </w:r>
      <w:r w:rsidRPr="0003429B">
        <w:rPr>
          <w:rFonts w:ascii="Times New Roman" w:hAnsi="Times New Roman" w:cs="Times New Roman"/>
          <w:sz w:val="24"/>
          <w:szCs w:val="24"/>
        </w:rPr>
        <w:t>or la cual se expide el Código Penal. D.O. 44.097. Colombia. https://normograma.info/men/docs/pdf/ley_0599_2000.pdf</w:t>
      </w:r>
    </w:p>
    <w:p w14:paraId="22836006" w14:textId="1E58113B" w:rsidR="0003429B" w:rsidRPr="00951D7A" w:rsidRDefault="0003429B" w:rsidP="00B939F3">
      <w:pPr>
        <w:spacing w:line="240" w:lineRule="auto"/>
        <w:ind w:left="709" w:hanging="709"/>
        <w:jc w:val="both"/>
        <w:rPr>
          <w:rFonts w:ascii="Times New Roman" w:hAnsi="Times New Roman" w:cs="Times New Roman"/>
          <w:sz w:val="24"/>
          <w:szCs w:val="24"/>
        </w:rPr>
      </w:pPr>
      <w:r w:rsidRPr="0003429B">
        <w:rPr>
          <w:rFonts w:ascii="Times New Roman" w:hAnsi="Times New Roman" w:cs="Times New Roman"/>
          <w:sz w:val="24"/>
          <w:szCs w:val="24"/>
        </w:rPr>
        <w:t xml:space="preserve">Congreso de Colombia. (2006). Ley 1098 de 2006 por la cual se expide el Código de la Infancia y la Adolescencia. </w:t>
      </w:r>
      <w:hyperlink r:id="rId10" w:history="1">
        <w:r w:rsidR="00951D7A" w:rsidRPr="00951D7A">
          <w:rPr>
            <w:rStyle w:val="Hipervnculo"/>
            <w:rFonts w:ascii="Times New Roman" w:hAnsi="Times New Roman" w:cs="Times New Roman"/>
            <w:color w:val="auto"/>
            <w:sz w:val="24"/>
            <w:szCs w:val="24"/>
            <w:u w:val="none"/>
          </w:rPr>
          <w:t>https://www.oas.org/dil/esp/codigo_de_la_infancia_y_la_adolescencia_colombia.pdf</w:t>
        </w:r>
      </w:hyperlink>
    </w:p>
    <w:p w14:paraId="250791C9" w14:textId="63044A16" w:rsidR="0003429B" w:rsidRPr="0003429B" w:rsidRDefault="0003429B" w:rsidP="00B939F3">
      <w:pPr>
        <w:spacing w:line="240" w:lineRule="auto"/>
        <w:ind w:left="709" w:hanging="709"/>
        <w:jc w:val="both"/>
        <w:rPr>
          <w:rFonts w:ascii="Times New Roman" w:hAnsi="Times New Roman" w:cs="Times New Roman"/>
          <w:sz w:val="24"/>
          <w:szCs w:val="24"/>
        </w:rPr>
      </w:pPr>
      <w:r w:rsidRPr="0003429B">
        <w:rPr>
          <w:rFonts w:ascii="Times New Roman" w:hAnsi="Times New Roman" w:cs="Times New Roman"/>
          <w:sz w:val="24"/>
          <w:szCs w:val="24"/>
        </w:rPr>
        <w:t>Congreso de la República. (2004). Ley 906 por la cual se expide el Código de Procedimiento Penal. https://www.oas.org/dil/esp/codigo_de_procedimiento_penal_colombia.pdf</w:t>
      </w:r>
    </w:p>
    <w:p w14:paraId="31DFC2DF" w14:textId="684C487B" w:rsidR="0003429B" w:rsidRPr="0003429B" w:rsidRDefault="0003429B" w:rsidP="00B939F3">
      <w:pPr>
        <w:spacing w:line="240" w:lineRule="auto"/>
        <w:ind w:left="709" w:hanging="709"/>
        <w:jc w:val="both"/>
        <w:rPr>
          <w:rFonts w:ascii="Times New Roman" w:hAnsi="Times New Roman" w:cs="Times New Roman"/>
          <w:sz w:val="24"/>
          <w:szCs w:val="24"/>
        </w:rPr>
      </w:pPr>
      <w:r w:rsidRPr="0003429B">
        <w:rPr>
          <w:rFonts w:ascii="Times New Roman" w:hAnsi="Times New Roman" w:cs="Times New Roman"/>
          <w:sz w:val="24"/>
          <w:szCs w:val="24"/>
        </w:rPr>
        <w:t>Corte Constitucional. (2021). Sentencia C-294-2021 (Cristina Pardo Schlesinger, M.S.). https://www.corteconstitucional.gov.co/Relatoria/2021/C-294-21.htm</w:t>
      </w:r>
    </w:p>
    <w:p w14:paraId="550A06C4" w14:textId="3273D407" w:rsidR="008832D4" w:rsidRPr="008832D4" w:rsidRDefault="008832D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8832D4">
        <w:rPr>
          <w:rFonts w:ascii="Times New Roman" w:eastAsia="Arial" w:hAnsi="Times New Roman" w:cs="Times New Roman"/>
          <w:color w:val="000000"/>
          <w:sz w:val="24"/>
          <w:szCs w:val="24"/>
        </w:rPr>
        <w:t>Convención sobre los Derechos del Niño. (1989). Obtenido de https://www.plataformadeinfancia.org/derechos-de-infancia/convencion-derechos-del-nino/convencion-sobre-los-derechos-del-nino-texto-oficial/</w:t>
      </w:r>
    </w:p>
    <w:p w14:paraId="7CB26757" w14:textId="77777777" w:rsidR="008832D4" w:rsidRPr="008832D4" w:rsidRDefault="008832D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8832D4">
        <w:rPr>
          <w:rFonts w:ascii="Times New Roman" w:eastAsia="Arial" w:hAnsi="Times New Roman" w:cs="Times New Roman"/>
          <w:color w:val="000000"/>
          <w:sz w:val="24"/>
          <w:szCs w:val="24"/>
        </w:rPr>
        <w:t xml:space="preserve">Corona, E. y Ortiz, G. (2003). </w:t>
      </w:r>
      <w:r w:rsidRPr="00CC5CAF">
        <w:rPr>
          <w:rFonts w:ascii="Times New Roman" w:eastAsia="Arial" w:hAnsi="Times New Roman" w:cs="Times New Roman"/>
          <w:i/>
          <w:iCs/>
          <w:color w:val="000000"/>
          <w:sz w:val="24"/>
          <w:szCs w:val="24"/>
        </w:rPr>
        <w:t>Hablemos de Educación y salud sexual. Manual para profesionales de la educación.</w:t>
      </w:r>
      <w:r w:rsidRPr="008832D4">
        <w:rPr>
          <w:rFonts w:ascii="Times New Roman" w:eastAsia="Arial" w:hAnsi="Times New Roman" w:cs="Times New Roman"/>
          <w:color w:val="000000"/>
          <w:sz w:val="24"/>
          <w:szCs w:val="24"/>
        </w:rPr>
        <w:t xml:space="preserve"> Información, herramientas y recursos. México. https://es.scribd.com/document/358776376/Hablemos-de-educacion-y-salud-sexual</w:t>
      </w:r>
    </w:p>
    <w:p w14:paraId="63336226" w14:textId="77777777" w:rsidR="008832D4" w:rsidRPr="008832D4" w:rsidRDefault="008832D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8832D4">
        <w:rPr>
          <w:rFonts w:ascii="Times New Roman" w:eastAsia="Arial" w:hAnsi="Times New Roman" w:cs="Times New Roman"/>
          <w:color w:val="000000"/>
          <w:sz w:val="24"/>
          <w:szCs w:val="24"/>
        </w:rPr>
        <w:t>Corte Constitucional. (septiembre 25, 1996). Sentencia T-474 (Dr. Fabio Morón Díaz, M. P.). Obtenido de https://www.corteconstitucional.gov.co/relatoria/1996/t-474-96.htm#:~:text=El%20menor%20adulto%20que%20decidi%C3%B3,integridad%20f%C3%ADsica%2C%20afectando%20incluso%20sus</w:t>
      </w:r>
    </w:p>
    <w:p w14:paraId="3CFF9567" w14:textId="77777777" w:rsidR="00436C1A" w:rsidRPr="00503C03" w:rsidRDefault="00436C1A"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503C03">
        <w:rPr>
          <w:rFonts w:ascii="Times New Roman" w:eastAsia="Arial" w:hAnsi="Times New Roman" w:cs="Times New Roman"/>
          <w:color w:val="000000"/>
          <w:sz w:val="24"/>
          <w:szCs w:val="24"/>
        </w:rPr>
        <w:t>Corte Constitucional. Sentencia No. C</w:t>
      </w:r>
      <w:r>
        <w:rPr>
          <w:rFonts w:ascii="Times New Roman" w:eastAsia="Arial" w:hAnsi="Times New Roman" w:cs="Times New Roman"/>
          <w:color w:val="000000"/>
          <w:sz w:val="24"/>
          <w:szCs w:val="24"/>
        </w:rPr>
        <w:t>-</w:t>
      </w:r>
      <w:r w:rsidRPr="00503C03">
        <w:rPr>
          <w:rFonts w:ascii="Times New Roman" w:eastAsia="Arial" w:hAnsi="Times New Roman" w:cs="Times New Roman"/>
          <w:color w:val="000000"/>
          <w:sz w:val="24"/>
          <w:szCs w:val="24"/>
        </w:rPr>
        <w:t>225</w:t>
      </w:r>
      <w:r>
        <w:rPr>
          <w:rFonts w:ascii="Times New Roman" w:eastAsia="Arial" w:hAnsi="Times New Roman" w:cs="Times New Roman"/>
          <w:color w:val="000000"/>
          <w:sz w:val="24"/>
          <w:szCs w:val="24"/>
        </w:rPr>
        <w:t>. (19</w:t>
      </w:r>
      <w:r w:rsidRPr="00503C03">
        <w:rPr>
          <w:rFonts w:ascii="Times New Roman" w:eastAsia="Arial" w:hAnsi="Times New Roman" w:cs="Times New Roman"/>
          <w:color w:val="000000"/>
          <w:sz w:val="24"/>
          <w:szCs w:val="24"/>
        </w:rPr>
        <w:t>95</w:t>
      </w:r>
      <w:r>
        <w:rPr>
          <w:rFonts w:ascii="Times New Roman" w:eastAsia="Arial" w:hAnsi="Times New Roman" w:cs="Times New Roman"/>
          <w:color w:val="000000"/>
          <w:sz w:val="24"/>
          <w:szCs w:val="24"/>
        </w:rPr>
        <w:t>)</w:t>
      </w:r>
      <w:r w:rsidRPr="00503C03">
        <w:rPr>
          <w:rFonts w:ascii="Times New Roman" w:eastAsia="Arial" w:hAnsi="Times New Roman" w:cs="Times New Roman"/>
          <w:color w:val="000000"/>
          <w:sz w:val="24"/>
          <w:szCs w:val="24"/>
        </w:rPr>
        <w:t xml:space="preserve"> https://www.corteconstitucional.gov.co/relatoria/1995/c-225-95.htm#:~:text=1%C2%BA.,convicciones%20y%20sus%20pr%C3%A1cticas%20religiosas.</w:t>
      </w:r>
    </w:p>
    <w:p w14:paraId="341376C5" w14:textId="577A4540" w:rsidR="00436C1A" w:rsidRPr="00503C03" w:rsidRDefault="00436C1A" w:rsidP="00B939F3">
      <w:pPr>
        <w:spacing w:line="240" w:lineRule="auto"/>
        <w:ind w:left="720" w:hanging="720"/>
        <w:jc w:val="both"/>
        <w:rPr>
          <w:rFonts w:ascii="Times New Roman" w:hAnsi="Times New Roman" w:cs="Times New Roman"/>
          <w:sz w:val="24"/>
          <w:szCs w:val="24"/>
        </w:rPr>
      </w:pPr>
      <w:r w:rsidRPr="00503C03">
        <w:rPr>
          <w:rFonts w:ascii="Times New Roman" w:hAnsi="Times New Roman" w:cs="Times New Roman"/>
          <w:sz w:val="24"/>
          <w:szCs w:val="24"/>
        </w:rPr>
        <w:t>Corte Constitucional</w:t>
      </w:r>
      <w:r>
        <w:rPr>
          <w:rFonts w:ascii="Times New Roman" w:hAnsi="Times New Roman" w:cs="Times New Roman"/>
          <w:sz w:val="24"/>
          <w:szCs w:val="24"/>
        </w:rPr>
        <w:t>.</w:t>
      </w:r>
      <w:r w:rsidRPr="00503C03">
        <w:rPr>
          <w:rFonts w:ascii="Times New Roman" w:hAnsi="Times New Roman" w:cs="Times New Roman"/>
          <w:sz w:val="24"/>
          <w:szCs w:val="24"/>
        </w:rPr>
        <w:t xml:space="preserve"> Sentencia C</w:t>
      </w:r>
      <w:r>
        <w:rPr>
          <w:rFonts w:ascii="Times New Roman" w:hAnsi="Times New Roman" w:cs="Times New Roman"/>
          <w:sz w:val="24"/>
          <w:szCs w:val="24"/>
        </w:rPr>
        <w:t>-</w:t>
      </w:r>
      <w:r w:rsidRPr="00503C03">
        <w:rPr>
          <w:rFonts w:ascii="Times New Roman" w:hAnsi="Times New Roman" w:cs="Times New Roman"/>
          <w:sz w:val="24"/>
          <w:szCs w:val="24"/>
        </w:rPr>
        <w:t>1068</w:t>
      </w:r>
      <w:r w:rsidR="00253982">
        <w:rPr>
          <w:rFonts w:ascii="Times New Roman" w:hAnsi="Times New Roman" w:cs="Times New Roman"/>
          <w:sz w:val="24"/>
          <w:szCs w:val="24"/>
        </w:rPr>
        <w:t>.</w:t>
      </w:r>
      <w:r w:rsidRPr="00503C03">
        <w:rPr>
          <w:rFonts w:ascii="Times New Roman" w:hAnsi="Times New Roman" w:cs="Times New Roman"/>
          <w:sz w:val="24"/>
          <w:szCs w:val="24"/>
        </w:rPr>
        <w:t xml:space="preserve"> (2003). Bogotá. https://vlex.com.co/vid/-43620733</w:t>
      </w:r>
    </w:p>
    <w:p w14:paraId="69C0420C" w14:textId="77777777" w:rsidR="00436C1A" w:rsidRPr="00503C03" w:rsidRDefault="00436C1A" w:rsidP="00B939F3">
      <w:pPr>
        <w:spacing w:line="240" w:lineRule="auto"/>
        <w:ind w:left="720" w:hanging="720"/>
        <w:jc w:val="both"/>
        <w:rPr>
          <w:rFonts w:ascii="Times New Roman" w:hAnsi="Times New Roman" w:cs="Times New Roman"/>
          <w:sz w:val="24"/>
          <w:szCs w:val="24"/>
        </w:rPr>
      </w:pPr>
      <w:r w:rsidRPr="00503C03">
        <w:rPr>
          <w:rFonts w:ascii="Times New Roman" w:hAnsi="Times New Roman" w:cs="Times New Roman"/>
          <w:sz w:val="24"/>
          <w:szCs w:val="24"/>
        </w:rPr>
        <w:t>Corte Constitucional. Sentencia T- 142. (2019). Interés superior del menor y prevalencia de los derechos de niños, niñas y adolescencia. (Alejandro Linares Castillo, M. P.) Bogotá, Colombia: Corte Constitucional de Colombia. https://www.corteconstitucional.gov.co/relatoria/2019/T-142-19.htm</w:t>
      </w:r>
    </w:p>
    <w:p w14:paraId="0FB2C870" w14:textId="77777777" w:rsidR="00436C1A" w:rsidRDefault="00436C1A" w:rsidP="00B939F3">
      <w:pPr>
        <w:spacing w:line="240" w:lineRule="auto"/>
        <w:ind w:left="720" w:hanging="720"/>
        <w:jc w:val="both"/>
        <w:rPr>
          <w:rFonts w:ascii="Times New Roman" w:hAnsi="Times New Roman" w:cs="Times New Roman"/>
          <w:sz w:val="24"/>
          <w:szCs w:val="24"/>
        </w:rPr>
      </w:pPr>
      <w:r w:rsidRPr="00436C1A">
        <w:rPr>
          <w:rFonts w:ascii="Times New Roman" w:hAnsi="Times New Roman" w:cs="Times New Roman"/>
          <w:sz w:val="24"/>
          <w:szCs w:val="24"/>
        </w:rPr>
        <w:t xml:space="preserve">Corte Constitucional. Sentencia T-408. (1995). Acción de tutela interpuesta por la abuela. (Eduardo Cifuentes Muñoz, M. P.) Bogotá, Colombia. </w:t>
      </w:r>
      <w:r w:rsidRPr="00436C1A">
        <w:rPr>
          <w:rFonts w:ascii="Times New Roman" w:hAnsi="Times New Roman" w:cs="Times New Roman"/>
          <w:sz w:val="24"/>
          <w:szCs w:val="24"/>
        </w:rPr>
        <w:lastRenderedPageBreak/>
        <w:t>https://www.corteconstitucional.gov.co/relatoria/1995/t-408-95.htm#:~:text=Cualquiera%20persona%20est%C3%A1%20legitimada%20para,la%20ausencia%20de%20representante%20legal.</w:t>
      </w:r>
    </w:p>
    <w:p w14:paraId="34E3CF79" w14:textId="753E00F8" w:rsidR="00AE050E" w:rsidRPr="00BD29A6" w:rsidRDefault="008832D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r w:rsidRPr="008832D4">
        <w:rPr>
          <w:rFonts w:ascii="Times New Roman" w:eastAsia="Arial" w:hAnsi="Times New Roman" w:cs="Times New Roman"/>
          <w:color w:val="000000"/>
          <w:sz w:val="24"/>
          <w:szCs w:val="24"/>
        </w:rPr>
        <w:t>Deza, V. S. (2005). Factores protectores en la prevención del abuso sexual infantil.</w:t>
      </w:r>
      <w:r w:rsidRPr="007F2F69">
        <w:rPr>
          <w:rFonts w:ascii="Times New Roman" w:eastAsia="Arial" w:hAnsi="Times New Roman" w:cs="Times New Roman"/>
          <w:i/>
          <w:iCs/>
          <w:color w:val="000000"/>
          <w:sz w:val="24"/>
          <w:szCs w:val="24"/>
        </w:rPr>
        <w:t xml:space="preserve"> </w:t>
      </w:r>
      <w:r w:rsidRPr="00BD29A6">
        <w:rPr>
          <w:rFonts w:ascii="Times New Roman" w:eastAsia="Arial" w:hAnsi="Times New Roman" w:cs="Times New Roman"/>
          <w:i/>
          <w:iCs/>
          <w:color w:val="000000"/>
          <w:sz w:val="24"/>
          <w:szCs w:val="24"/>
          <w:lang w:val="en-US"/>
        </w:rPr>
        <w:t>Liberabit,</w:t>
      </w:r>
      <w:r w:rsidRPr="00BD29A6">
        <w:rPr>
          <w:rFonts w:ascii="Times New Roman" w:eastAsia="Arial" w:hAnsi="Times New Roman" w:cs="Times New Roman"/>
          <w:color w:val="000000"/>
          <w:sz w:val="24"/>
          <w:szCs w:val="24"/>
          <w:lang w:val="en-US"/>
        </w:rPr>
        <w:t xml:space="preserve"> 11, 19-24. </w:t>
      </w:r>
      <w:r w:rsidR="00AB1A24" w:rsidRPr="00BD29A6">
        <w:rPr>
          <w:rFonts w:ascii="Times New Roman" w:eastAsia="Arial" w:hAnsi="Times New Roman" w:cs="Times New Roman"/>
          <w:color w:val="000000"/>
          <w:sz w:val="24"/>
          <w:szCs w:val="24"/>
          <w:lang w:val="en-US"/>
        </w:rPr>
        <w:t>http://pepsic.bvsalud.org/pdf/liberabit/v11n11/v11n11a03.pdf</w:t>
      </w:r>
    </w:p>
    <w:p w14:paraId="18D4C406" w14:textId="66FAB7E2" w:rsidR="00AB1A24" w:rsidRPr="00AB1A24" w:rsidRDefault="00AB1A2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r w:rsidRPr="00BD29A6">
        <w:rPr>
          <w:rFonts w:ascii="Times New Roman" w:eastAsia="Arial" w:hAnsi="Times New Roman" w:cs="Times New Roman"/>
          <w:color w:val="000000"/>
          <w:sz w:val="24"/>
          <w:szCs w:val="24"/>
          <w:lang w:val="en-US"/>
        </w:rPr>
        <w:t xml:space="preserve">Dixon-Mueller, R. (2008). </w:t>
      </w:r>
      <w:r w:rsidRPr="00AB1A24">
        <w:rPr>
          <w:rFonts w:ascii="Times New Roman" w:eastAsia="Arial" w:hAnsi="Times New Roman" w:cs="Times New Roman"/>
          <w:color w:val="000000"/>
          <w:sz w:val="24"/>
          <w:szCs w:val="24"/>
          <w:lang w:val="en-US"/>
        </w:rPr>
        <w:t>How young is "too young"? Comparative perspectives on adolescent sexual, marital, and reproductive transitions</w:t>
      </w:r>
      <w:r w:rsidRPr="00CC5CAF">
        <w:rPr>
          <w:rFonts w:ascii="Times New Roman" w:eastAsia="Arial" w:hAnsi="Times New Roman" w:cs="Times New Roman"/>
          <w:i/>
          <w:iCs/>
          <w:color w:val="000000"/>
          <w:sz w:val="24"/>
          <w:szCs w:val="24"/>
          <w:lang w:val="en-US"/>
        </w:rPr>
        <w:t>. Studies in Family Planning</w:t>
      </w:r>
      <w:r w:rsidRPr="00AB1A24">
        <w:rPr>
          <w:rFonts w:ascii="Times New Roman" w:eastAsia="Arial" w:hAnsi="Times New Roman" w:cs="Times New Roman"/>
          <w:color w:val="000000"/>
          <w:sz w:val="24"/>
          <w:szCs w:val="24"/>
          <w:lang w:val="en-US"/>
        </w:rPr>
        <w:t>, 39(4), 247-262. https://toolkits.knowledgesuccess.org/sites/default/files/dixon-mueller-2008-studies_in_family_planning.pdf</w:t>
      </w:r>
    </w:p>
    <w:p w14:paraId="5ADA53A7" w14:textId="0F884819" w:rsidR="00AD5F4B" w:rsidRPr="00AD5F4B"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D5F4B">
        <w:rPr>
          <w:rFonts w:ascii="Times New Roman" w:eastAsia="Arial" w:hAnsi="Times New Roman" w:cs="Times New Roman"/>
          <w:color w:val="000000"/>
          <w:sz w:val="24"/>
          <w:szCs w:val="24"/>
        </w:rPr>
        <w:t xml:space="preserve">Díaz, P. A. (2020). </w:t>
      </w:r>
      <w:r w:rsidRPr="00CC5CAF">
        <w:rPr>
          <w:rFonts w:ascii="Times New Roman" w:eastAsia="Arial" w:hAnsi="Times New Roman" w:cs="Times New Roman"/>
          <w:i/>
          <w:iCs/>
          <w:color w:val="000000"/>
          <w:sz w:val="24"/>
          <w:szCs w:val="24"/>
        </w:rPr>
        <w:t>Los delitos sexuales contra la libertad, integridad y formación sexuales</w:t>
      </w:r>
      <w:r w:rsidRPr="00AD5F4B">
        <w:rPr>
          <w:rFonts w:ascii="Times New Roman" w:eastAsia="Arial" w:hAnsi="Times New Roman" w:cs="Times New Roman"/>
          <w:color w:val="000000"/>
          <w:sz w:val="24"/>
          <w:szCs w:val="24"/>
        </w:rPr>
        <w:t>. [Monografía de grado]. Universidad de la Sabana. https://intellectum.unisabana.edu.co/bitstream/handle/10818/5274/129854.pdf</w:t>
      </w:r>
    </w:p>
    <w:p w14:paraId="0A1109AD" w14:textId="20133FF5" w:rsidR="00AD5F4B" w:rsidRPr="007F2F69"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AD5F4B">
        <w:rPr>
          <w:rFonts w:ascii="Times New Roman" w:eastAsia="Arial" w:hAnsi="Times New Roman" w:cs="Times New Roman"/>
          <w:color w:val="000000"/>
          <w:sz w:val="24"/>
          <w:szCs w:val="24"/>
        </w:rPr>
        <w:t xml:space="preserve">Domínguez, M. J. (2014). Capacidad e incapacidad de ejercicio. </w:t>
      </w:r>
      <w:r w:rsidRPr="00CC5CAF">
        <w:rPr>
          <w:rFonts w:ascii="Times New Roman" w:eastAsia="Arial" w:hAnsi="Times New Roman" w:cs="Times New Roman"/>
          <w:i/>
          <w:iCs/>
          <w:color w:val="000000"/>
          <w:sz w:val="24"/>
          <w:szCs w:val="24"/>
        </w:rPr>
        <w:t>Revista Mexicana de Derecho,</w:t>
      </w:r>
      <w:r w:rsidRPr="00AD5F4B">
        <w:rPr>
          <w:rFonts w:ascii="Times New Roman" w:eastAsia="Arial" w:hAnsi="Times New Roman" w:cs="Times New Roman"/>
          <w:color w:val="000000"/>
          <w:sz w:val="24"/>
          <w:szCs w:val="24"/>
        </w:rPr>
        <w:t xml:space="preserve"> (16), 43-63. </w:t>
      </w:r>
      <w:r w:rsidR="007F2F69" w:rsidRPr="007F2F69">
        <w:rPr>
          <w:rFonts w:ascii="Times New Roman" w:eastAsia="Arial" w:hAnsi="Times New Roman" w:cs="Times New Roman"/>
          <w:color w:val="000000"/>
          <w:sz w:val="24"/>
          <w:szCs w:val="24"/>
          <w:lang w:val="es-VE"/>
        </w:rPr>
        <w:t>https://archivos.juridicas.unam.mx/www/bjv/libros/8/3915/5.pdf</w:t>
      </w:r>
    </w:p>
    <w:p w14:paraId="6D8B7450" w14:textId="5A401740" w:rsidR="007F2F69" w:rsidRPr="00AD5F4B" w:rsidRDefault="007F2F6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7F2F69">
        <w:rPr>
          <w:rFonts w:ascii="Times New Roman" w:eastAsia="Arial" w:hAnsi="Times New Roman" w:cs="Times New Roman"/>
          <w:color w:val="000000"/>
          <w:sz w:val="24"/>
          <w:szCs w:val="24"/>
          <w:lang w:val="en-US"/>
        </w:rPr>
        <w:t xml:space="preserve">Eggleston, E., Jackson, J. y Hardee, K. (1999). </w:t>
      </w:r>
      <w:r w:rsidRPr="007F2F69">
        <w:rPr>
          <w:rFonts w:ascii="Times New Roman" w:eastAsia="Arial" w:hAnsi="Times New Roman" w:cs="Times New Roman"/>
          <w:color w:val="000000"/>
          <w:sz w:val="24"/>
          <w:szCs w:val="24"/>
        </w:rPr>
        <w:t xml:space="preserve">Actitudes y comportamiento sexual entre los adolescentes jóvenes en Jamaica. </w:t>
      </w:r>
      <w:r w:rsidRPr="007F2F69">
        <w:rPr>
          <w:rFonts w:ascii="Times New Roman" w:eastAsia="Arial" w:hAnsi="Times New Roman" w:cs="Times New Roman"/>
          <w:i/>
          <w:iCs/>
          <w:color w:val="000000"/>
          <w:sz w:val="24"/>
          <w:szCs w:val="24"/>
        </w:rPr>
        <w:t xml:space="preserve">International </w:t>
      </w:r>
      <w:proofErr w:type="spellStart"/>
      <w:r w:rsidRPr="007F2F69">
        <w:rPr>
          <w:rFonts w:ascii="Times New Roman" w:eastAsia="Arial" w:hAnsi="Times New Roman" w:cs="Times New Roman"/>
          <w:i/>
          <w:iCs/>
          <w:color w:val="000000"/>
          <w:sz w:val="24"/>
          <w:szCs w:val="24"/>
        </w:rPr>
        <w:t>Family</w:t>
      </w:r>
      <w:proofErr w:type="spellEnd"/>
      <w:r w:rsidRPr="007F2F69">
        <w:rPr>
          <w:rFonts w:ascii="Times New Roman" w:eastAsia="Arial" w:hAnsi="Times New Roman" w:cs="Times New Roman"/>
          <w:i/>
          <w:iCs/>
          <w:color w:val="000000"/>
          <w:sz w:val="24"/>
          <w:szCs w:val="24"/>
        </w:rPr>
        <w:t xml:space="preserve"> </w:t>
      </w:r>
      <w:proofErr w:type="spellStart"/>
      <w:r w:rsidRPr="007F2F69">
        <w:rPr>
          <w:rFonts w:ascii="Times New Roman" w:eastAsia="Arial" w:hAnsi="Times New Roman" w:cs="Times New Roman"/>
          <w:i/>
          <w:iCs/>
          <w:color w:val="000000"/>
          <w:sz w:val="24"/>
          <w:szCs w:val="24"/>
        </w:rPr>
        <w:t>Planning</w:t>
      </w:r>
      <w:proofErr w:type="spellEnd"/>
      <w:r w:rsidRPr="007F2F69">
        <w:rPr>
          <w:rFonts w:ascii="Times New Roman" w:eastAsia="Arial" w:hAnsi="Times New Roman" w:cs="Times New Roman"/>
          <w:i/>
          <w:iCs/>
          <w:color w:val="000000"/>
          <w:sz w:val="24"/>
          <w:szCs w:val="24"/>
        </w:rPr>
        <w:t xml:space="preserve"> </w:t>
      </w:r>
      <w:proofErr w:type="spellStart"/>
      <w:r w:rsidRPr="007F2F69">
        <w:rPr>
          <w:rFonts w:ascii="Times New Roman" w:eastAsia="Arial" w:hAnsi="Times New Roman" w:cs="Times New Roman"/>
          <w:i/>
          <w:iCs/>
          <w:color w:val="000000"/>
          <w:sz w:val="24"/>
          <w:szCs w:val="24"/>
        </w:rPr>
        <w:t>Perspectives</w:t>
      </w:r>
      <w:proofErr w:type="spellEnd"/>
      <w:r w:rsidRPr="007F2F69">
        <w:rPr>
          <w:rFonts w:ascii="Times New Roman" w:eastAsia="Arial" w:hAnsi="Times New Roman" w:cs="Times New Roman"/>
          <w:color w:val="000000"/>
          <w:sz w:val="24"/>
          <w:szCs w:val="24"/>
        </w:rPr>
        <w:t>, 25(2), 78-84, 91.</w:t>
      </w:r>
    </w:p>
    <w:p w14:paraId="4C66369C" w14:textId="430DA515" w:rsidR="00AD5F4B" w:rsidRPr="00AD5F4B"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D5F4B">
        <w:rPr>
          <w:rFonts w:ascii="Times New Roman" w:eastAsia="Arial" w:hAnsi="Times New Roman" w:cs="Times New Roman"/>
          <w:color w:val="000000"/>
          <w:sz w:val="24"/>
          <w:szCs w:val="24"/>
        </w:rPr>
        <w:t xml:space="preserve">Fiscalía General de la Nación. (2003). </w:t>
      </w:r>
      <w:r w:rsidRPr="00CC5CAF">
        <w:rPr>
          <w:rFonts w:ascii="Times New Roman" w:eastAsia="Arial" w:hAnsi="Times New Roman" w:cs="Times New Roman"/>
          <w:i/>
          <w:iCs/>
          <w:color w:val="000000"/>
          <w:sz w:val="24"/>
          <w:szCs w:val="24"/>
        </w:rPr>
        <w:t>Prevención de delitos sexuales</w:t>
      </w:r>
      <w:r w:rsidRPr="00AD5F4B">
        <w:rPr>
          <w:rFonts w:ascii="Times New Roman" w:eastAsia="Arial" w:hAnsi="Times New Roman" w:cs="Times New Roman"/>
          <w:color w:val="000000"/>
          <w:sz w:val="24"/>
          <w:szCs w:val="24"/>
        </w:rPr>
        <w:t>. Colombia. https://www.fiscalia.gov.co/colombia/wp-content/uploads/FGN.-Informe-de-gestio%CC%81n.-Versio%CC%81n-final.pdf</w:t>
      </w:r>
    </w:p>
    <w:p w14:paraId="16C70B73" w14:textId="7412E009" w:rsidR="00AD5F4B" w:rsidRPr="00AD5F4B"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D5F4B">
        <w:rPr>
          <w:rFonts w:ascii="Times New Roman" w:eastAsia="Arial" w:hAnsi="Times New Roman" w:cs="Times New Roman"/>
          <w:color w:val="000000"/>
          <w:sz w:val="24"/>
          <w:szCs w:val="24"/>
        </w:rPr>
        <w:t xml:space="preserve">Fiscalía General de la Nación. (2022). </w:t>
      </w:r>
      <w:r w:rsidRPr="00CC5CAF">
        <w:rPr>
          <w:rFonts w:ascii="Times New Roman" w:eastAsia="Arial" w:hAnsi="Times New Roman" w:cs="Times New Roman"/>
          <w:i/>
          <w:iCs/>
          <w:color w:val="000000"/>
          <w:sz w:val="24"/>
          <w:szCs w:val="24"/>
        </w:rPr>
        <w:t>Formato Orden de Archivo SRPA</w:t>
      </w:r>
      <w:r w:rsidRPr="00AD5F4B">
        <w:rPr>
          <w:rFonts w:ascii="Times New Roman" w:eastAsia="Arial" w:hAnsi="Times New Roman" w:cs="Times New Roman"/>
          <w:color w:val="000000"/>
          <w:sz w:val="24"/>
          <w:szCs w:val="24"/>
        </w:rPr>
        <w:t>. Bogotá. https://www.fiscalia.gov.co/colombia/justicia-transicional-2/formato/</w:t>
      </w:r>
    </w:p>
    <w:p w14:paraId="4107C8FD" w14:textId="6D0F03D4" w:rsidR="00AD5F4B" w:rsidRPr="00AE050E"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D5F4B">
        <w:rPr>
          <w:rFonts w:ascii="Times New Roman" w:eastAsia="Arial" w:hAnsi="Times New Roman" w:cs="Times New Roman"/>
          <w:color w:val="000000"/>
          <w:sz w:val="24"/>
          <w:szCs w:val="24"/>
        </w:rPr>
        <w:t xml:space="preserve">Fiscalía General de la Nación. (2022). </w:t>
      </w:r>
      <w:r w:rsidRPr="00CC5CAF">
        <w:rPr>
          <w:rFonts w:ascii="Times New Roman" w:eastAsia="Arial" w:hAnsi="Times New Roman" w:cs="Times New Roman"/>
          <w:i/>
          <w:iCs/>
          <w:color w:val="000000"/>
          <w:sz w:val="24"/>
          <w:szCs w:val="24"/>
        </w:rPr>
        <w:t>Protocolo de Investigación de Violencia Sexual</w:t>
      </w:r>
      <w:r w:rsidRPr="00AD5F4B">
        <w:rPr>
          <w:rFonts w:ascii="Times New Roman" w:eastAsia="Arial" w:hAnsi="Times New Roman" w:cs="Times New Roman"/>
          <w:color w:val="000000"/>
          <w:sz w:val="24"/>
          <w:szCs w:val="24"/>
        </w:rPr>
        <w:t>. Resolución 01774. Bogotá. https://www.fiscalia.gov.co/colombia/wp-content/uploads/Protocolo-de-investigacio%CC%81n-de-violencia-sexual-cambios-aceptados-final.pdf</w:t>
      </w:r>
    </w:p>
    <w:p w14:paraId="79E7F06D" w14:textId="3D04EF72" w:rsidR="00703BDE" w:rsidRPr="00703BDE" w:rsidRDefault="00703BDE"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proofErr w:type="spellStart"/>
      <w:r w:rsidRPr="00703BDE">
        <w:rPr>
          <w:rFonts w:ascii="Times New Roman" w:eastAsia="Arial" w:hAnsi="Times New Roman" w:cs="Times New Roman"/>
          <w:color w:val="000000"/>
          <w:sz w:val="24"/>
          <w:szCs w:val="24"/>
          <w:lang w:val="es-VE"/>
        </w:rPr>
        <w:t>Gueye</w:t>
      </w:r>
      <w:proofErr w:type="spellEnd"/>
      <w:r w:rsidRPr="00703BDE">
        <w:rPr>
          <w:rFonts w:ascii="Times New Roman" w:eastAsia="Arial" w:hAnsi="Times New Roman" w:cs="Times New Roman"/>
          <w:color w:val="000000"/>
          <w:sz w:val="24"/>
          <w:szCs w:val="24"/>
          <w:lang w:val="es-VE"/>
        </w:rPr>
        <w:t xml:space="preserve">, M., </w:t>
      </w:r>
      <w:proofErr w:type="spellStart"/>
      <w:r w:rsidRPr="00703BDE">
        <w:rPr>
          <w:rFonts w:ascii="Times New Roman" w:eastAsia="Arial" w:hAnsi="Times New Roman" w:cs="Times New Roman"/>
          <w:color w:val="000000"/>
          <w:sz w:val="24"/>
          <w:szCs w:val="24"/>
          <w:lang w:val="es-VE"/>
        </w:rPr>
        <w:t>Castle</w:t>
      </w:r>
      <w:proofErr w:type="spellEnd"/>
      <w:r w:rsidRPr="00703BDE">
        <w:rPr>
          <w:rFonts w:ascii="Times New Roman" w:eastAsia="Arial" w:hAnsi="Times New Roman" w:cs="Times New Roman"/>
          <w:color w:val="000000"/>
          <w:sz w:val="24"/>
          <w:szCs w:val="24"/>
          <w:lang w:val="es-VE"/>
        </w:rPr>
        <w:t xml:space="preserve">, S., y </w:t>
      </w:r>
      <w:proofErr w:type="spellStart"/>
      <w:r w:rsidRPr="00703BDE">
        <w:rPr>
          <w:rFonts w:ascii="Times New Roman" w:eastAsia="Arial" w:hAnsi="Times New Roman" w:cs="Times New Roman"/>
          <w:color w:val="000000"/>
          <w:sz w:val="24"/>
          <w:szCs w:val="24"/>
          <w:lang w:val="es-VE"/>
        </w:rPr>
        <w:t>Konaté</w:t>
      </w:r>
      <w:proofErr w:type="spellEnd"/>
      <w:r w:rsidRPr="00703BDE">
        <w:rPr>
          <w:rFonts w:ascii="Times New Roman" w:eastAsia="Arial" w:hAnsi="Times New Roman" w:cs="Times New Roman"/>
          <w:color w:val="000000"/>
          <w:sz w:val="24"/>
          <w:szCs w:val="24"/>
          <w:lang w:val="es-VE"/>
        </w:rPr>
        <w:t xml:space="preserve">, M. K. (2001). Momento de la primera relación sexual entre adolescentes malienses: implicaciones para el uso de anticonceptivos. </w:t>
      </w:r>
      <w:r w:rsidRPr="00CC5CAF">
        <w:rPr>
          <w:rFonts w:ascii="Times New Roman" w:eastAsia="Arial" w:hAnsi="Times New Roman" w:cs="Times New Roman"/>
          <w:i/>
          <w:iCs/>
          <w:color w:val="000000"/>
          <w:sz w:val="24"/>
          <w:szCs w:val="24"/>
          <w:lang w:val="es-VE"/>
        </w:rPr>
        <w:t>Perspectivas internacionales en planificación familiar</w:t>
      </w:r>
      <w:r w:rsidRPr="00703BDE">
        <w:rPr>
          <w:rFonts w:ascii="Times New Roman" w:eastAsia="Arial" w:hAnsi="Times New Roman" w:cs="Times New Roman"/>
          <w:color w:val="000000"/>
          <w:sz w:val="24"/>
          <w:szCs w:val="24"/>
          <w:lang w:val="es-VE"/>
        </w:rPr>
        <w:t>, 27(2), 56-62, 70.</w:t>
      </w:r>
    </w:p>
    <w:p w14:paraId="4E197525" w14:textId="12030447" w:rsidR="00AD5F4B" w:rsidRPr="00AD5F4B"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D5F4B">
        <w:rPr>
          <w:rFonts w:ascii="Times New Roman" w:eastAsia="Arial" w:hAnsi="Times New Roman" w:cs="Times New Roman"/>
          <w:color w:val="000000"/>
          <w:sz w:val="24"/>
          <w:szCs w:val="24"/>
        </w:rPr>
        <w:t xml:space="preserve">Instituto Colombiano de Bienestar Familiar [ICBF]. (2010). </w:t>
      </w:r>
      <w:r w:rsidRPr="00CC5CAF">
        <w:rPr>
          <w:rFonts w:ascii="Times New Roman" w:eastAsia="Arial" w:hAnsi="Times New Roman" w:cs="Times New Roman"/>
          <w:i/>
          <w:iCs/>
          <w:color w:val="000000"/>
          <w:sz w:val="24"/>
          <w:szCs w:val="24"/>
        </w:rPr>
        <w:t>Concepto 50972.</w:t>
      </w:r>
      <w:r w:rsidRPr="00AD5F4B">
        <w:rPr>
          <w:rFonts w:ascii="Times New Roman" w:eastAsia="Arial" w:hAnsi="Times New Roman" w:cs="Times New Roman"/>
          <w:color w:val="000000"/>
          <w:sz w:val="24"/>
          <w:szCs w:val="24"/>
        </w:rPr>
        <w:t xml:space="preserve"> Consulta referente al traslado de menores de edad. https://www.icbf.gov.co/cargues/avance/docs/concepto_icbf_0050972_2010.htm#:~:text=El%20art%C3%ADculo%2034%20del%20C%C3%B3digo,de%20edad%2C%20o%20simplemente%20menor</w:t>
      </w:r>
    </w:p>
    <w:p w14:paraId="1236B6F3" w14:textId="464C0B07" w:rsidR="00AD5F4B" w:rsidRPr="00AD5F4B" w:rsidRDefault="00AD5F4B"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AD5F4B">
        <w:rPr>
          <w:rFonts w:ascii="Times New Roman" w:eastAsia="Arial" w:hAnsi="Times New Roman" w:cs="Times New Roman"/>
          <w:color w:val="000000"/>
          <w:sz w:val="24"/>
          <w:szCs w:val="24"/>
        </w:rPr>
        <w:t xml:space="preserve">Instituto Colombiano de Bienestar Familiar. (2018). </w:t>
      </w:r>
      <w:r w:rsidRPr="00CC5CAF">
        <w:rPr>
          <w:rFonts w:ascii="Times New Roman" w:eastAsia="Arial" w:hAnsi="Times New Roman" w:cs="Times New Roman"/>
          <w:i/>
          <w:iCs/>
          <w:color w:val="000000"/>
          <w:sz w:val="24"/>
          <w:szCs w:val="24"/>
        </w:rPr>
        <w:t>Consulta sobre el trámite competencia de las Defensorías de Familia</w:t>
      </w:r>
      <w:r w:rsidRPr="00AD5F4B">
        <w:rPr>
          <w:rFonts w:ascii="Times New Roman" w:eastAsia="Arial" w:hAnsi="Times New Roman" w:cs="Times New Roman"/>
          <w:color w:val="000000"/>
          <w:sz w:val="24"/>
          <w:szCs w:val="24"/>
        </w:rPr>
        <w:t>. https://www.icbf.gov.co/cargues/avance/docs/concepto_icbf_0000006_2018.htm</w:t>
      </w:r>
    </w:p>
    <w:p w14:paraId="256EAD18" w14:textId="6440FF34" w:rsidR="00703BDE" w:rsidRDefault="00703BDE"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proofErr w:type="spellStart"/>
      <w:r w:rsidRPr="00703BDE">
        <w:rPr>
          <w:rFonts w:ascii="Times New Roman" w:eastAsia="Arial" w:hAnsi="Times New Roman" w:cs="Times New Roman"/>
          <w:color w:val="000000"/>
          <w:sz w:val="24"/>
          <w:szCs w:val="24"/>
        </w:rPr>
        <w:t>Jejeebhoy</w:t>
      </w:r>
      <w:proofErr w:type="spellEnd"/>
      <w:r w:rsidRPr="00703BDE">
        <w:rPr>
          <w:rFonts w:ascii="Times New Roman" w:eastAsia="Arial" w:hAnsi="Times New Roman" w:cs="Times New Roman"/>
          <w:color w:val="000000"/>
          <w:sz w:val="24"/>
          <w:szCs w:val="24"/>
        </w:rPr>
        <w:t xml:space="preserve">, S. J., </w:t>
      </w:r>
      <w:proofErr w:type="spellStart"/>
      <w:r w:rsidRPr="00703BDE">
        <w:rPr>
          <w:rFonts w:ascii="Times New Roman" w:eastAsia="Arial" w:hAnsi="Times New Roman" w:cs="Times New Roman"/>
          <w:color w:val="000000"/>
          <w:sz w:val="24"/>
          <w:szCs w:val="24"/>
        </w:rPr>
        <w:t>Acharya</w:t>
      </w:r>
      <w:proofErr w:type="spellEnd"/>
      <w:r w:rsidRPr="00703BDE">
        <w:rPr>
          <w:rFonts w:ascii="Times New Roman" w:eastAsia="Arial" w:hAnsi="Times New Roman" w:cs="Times New Roman"/>
          <w:color w:val="000000"/>
          <w:sz w:val="24"/>
          <w:szCs w:val="24"/>
        </w:rPr>
        <w:t xml:space="preserve">, R., Alexander, M., </w:t>
      </w:r>
      <w:proofErr w:type="spellStart"/>
      <w:r w:rsidRPr="00703BDE">
        <w:rPr>
          <w:rFonts w:ascii="Times New Roman" w:eastAsia="Arial" w:hAnsi="Times New Roman" w:cs="Times New Roman"/>
          <w:color w:val="000000"/>
          <w:sz w:val="24"/>
          <w:szCs w:val="24"/>
        </w:rPr>
        <w:t>Garda</w:t>
      </w:r>
      <w:proofErr w:type="spellEnd"/>
      <w:r w:rsidRPr="00703BDE">
        <w:rPr>
          <w:rFonts w:ascii="Times New Roman" w:eastAsia="Arial" w:hAnsi="Times New Roman" w:cs="Times New Roman"/>
          <w:color w:val="000000"/>
          <w:sz w:val="24"/>
          <w:szCs w:val="24"/>
        </w:rPr>
        <w:t xml:space="preserve">, L., </w:t>
      </w:r>
      <w:proofErr w:type="spellStart"/>
      <w:r w:rsidRPr="00703BDE">
        <w:rPr>
          <w:rFonts w:ascii="Times New Roman" w:eastAsia="Arial" w:hAnsi="Times New Roman" w:cs="Times New Roman"/>
          <w:color w:val="000000"/>
          <w:sz w:val="24"/>
          <w:szCs w:val="24"/>
        </w:rPr>
        <w:t>Kanade</w:t>
      </w:r>
      <w:proofErr w:type="spellEnd"/>
      <w:r w:rsidRPr="00703BDE">
        <w:rPr>
          <w:rFonts w:ascii="Times New Roman" w:eastAsia="Arial" w:hAnsi="Times New Roman" w:cs="Times New Roman"/>
          <w:color w:val="000000"/>
          <w:sz w:val="24"/>
          <w:szCs w:val="24"/>
        </w:rPr>
        <w:t xml:space="preserve">, S. y </w:t>
      </w:r>
      <w:proofErr w:type="spellStart"/>
      <w:r w:rsidRPr="00703BDE">
        <w:rPr>
          <w:rFonts w:ascii="Times New Roman" w:eastAsia="Arial" w:hAnsi="Times New Roman" w:cs="Times New Roman"/>
          <w:color w:val="000000"/>
          <w:sz w:val="24"/>
          <w:szCs w:val="24"/>
        </w:rPr>
        <w:t>Ganatra</w:t>
      </w:r>
      <w:proofErr w:type="spellEnd"/>
      <w:r w:rsidRPr="00703BDE">
        <w:rPr>
          <w:rFonts w:ascii="Times New Roman" w:eastAsia="Arial" w:hAnsi="Times New Roman" w:cs="Times New Roman"/>
          <w:color w:val="000000"/>
          <w:sz w:val="24"/>
          <w:szCs w:val="24"/>
        </w:rPr>
        <w:t xml:space="preserve">, B. (2006). Agencia entre jóvenes solteros en India: niveles, patrones y diferencias de género. Ponencia presentada en </w:t>
      </w:r>
      <w:r w:rsidRPr="004D5650">
        <w:rPr>
          <w:rFonts w:ascii="Times New Roman" w:eastAsia="Arial" w:hAnsi="Times New Roman" w:cs="Times New Roman"/>
          <w:i/>
          <w:iCs/>
          <w:color w:val="000000"/>
          <w:sz w:val="24"/>
          <w:szCs w:val="24"/>
        </w:rPr>
        <w:t xml:space="preserve">el seminario de la Unión Internacional para el Estudio </w:t>
      </w:r>
      <w:r w:rsidRPr="004D5650">
        <w:rPr>
          <w:rFonts w:ascii="Times New Roman" w:eastAsia="Arial" w:hAnsi="Times New Roman" w:cs="Times New Roman"/>
          <w:i/>
          <w:iCs/>
          <w:color w:val="000000"/>
          <w:sz w:val="24"/>
          <w:szCs w:val="24"/>
        </w:rPr>
        <w:lastRenderedPageBreak/>
        <w:t>Científico de la Población</w:t>
      </w:r>
      <w:r w:rsidRPr="00703BDE">
        <w:rPr>
          <w:rFonts w:ascii="Times New Roman" w:eastAsia="Arial" w:hAnsi="Times New Roman" w:cs="Times New Roman"/>
          <w:color w:val="000000"/>
          <w:sz w:val="24"/>
          <w:szCs w:val="24"/>
        </w:rPr>
        <w:t xml:space="preserve"> sobre Transiciones Sexuales y Reproductivas de los Adolescentes en Países en Desarrollo, Cholula, México, 6-9 de noviembre.</w:t>
      </w:r>
    </w:p>
    <w:p w14:paraId="2AAC6B58" w14:textId="6D5C4748" w:rsidR="00703BDE" w:rsidRDefault="00703BDE"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703BDE">
        <w:rPr>
          <w:rFonts w:ascii="Times New Roman" w:eastAsia="Arial" w:hAnsi="Times New Roman" w:cs="Times New Roman"/>
          <w:color w:val="000000"/>
          <w:sz w:val="24"/>
          <w:szCs w:val="24"/>
          <w:lang w:val="en-US"/>
        </w:rPr>
        <w:t xml:space="preserve">Karim, A. M., Magnani, R. J., Morgan, G. T. y Bond, K. C. (2003). </w:t>
      </w:r>
      <w:r w:rsidRPr="00703BDE">
        <w:rPr>
          <w:rFonts w:ascii="Times New Roman" w:eastAsia="Arial" w:hAnsi="Times New Roman" w:cs="Times New Roman"/>
          <w:color w:val="000000"/>
          <w:sz w:val="24"/>
          <w:szCs w:val="24"/>
          <w:lang w:val="es-VE"/>
        </w:rPr>
        <w:t xml:space="preserve">Riesgos y factores protectores de la salud reproductiva entre jóvenes solteros en Ghana. </w:t>
      </w:r>
      <w:r w:rsidRPr="004D5650">
        <w:rPr>
          <w:rFonts w:ascii="Times New Roman" w:eastAsia="Arial" w:hAnsi="Times New Roman" w:cs="Times New Roman"/>
          <w:i/>
          <w:iCs/>
          <w:color w:val="000000"/>
          <w:sz w:val="24"/>
          <w:szCs w:val="24"/>
          <w:lang w:val="es-VE"/>
        </w:rPr>
        <w:t>Perspectivas internacionales en planificación familiar</w:t>
      </w:r>
      <w:r w:rsidRPr="00703BDE">
        <w:rPr>
          <w:rFonts w:ascii="Times New Roman" w:eastAsia="Arial" w:hAnsi="Times New Roman" w:cs="Times New Roman"/>
          <w:color w:val="000000"/>
          <w:sz w:val="24"/>
          <w:szCs w:val="24"/>
          <w:lang w:val="es-VE"/>
        </w:rPr>
        <w:t>, 29(1), 14-24.</w:t>
      </w:r>
    </w:p>
    <w:p w14:paraId="32018FC8" w14:textId="27795C19" w:rsidR="00971BF5" w:rsidRPr="001D6322" w:rsidRDefault="00971BF5"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r w:rsidRPr="00971BF5">
        <w:rPr>
          <w:rFonts w:ascii="Times New Roman" w:eastAsia="Arial" w:hAnsi="Times New Roman" w:cs="Times New Roman"/>
          <w:color w:val="000000"/>
          <w:sz w:val="24"/>
          <w:szCs w:val="24"/>
        </w:rPr>
        <w:t xml:space="preserve">Lloyd, C. B. (Ed.). (2005). Crecer en un mundo global: Las transiciones cambiantes a la edad adulta en los países en desarrollo. </w:t>
      </w:r>
      <w:r w:rsidRPr="004D5650">
        <w:rPr>
          <w:rFonts w:ascii="Times New Roman" w:eastAsia="Arial" w:hAnsi="Times New Roman" w:cs="Times New Roman"/>
          <w:i/>
          <w:iCs/>
          <w:color w:val="000000"/>
          <w:sz w:val="24"/>
          <w:szCs w:val="24"/>
          <w:lang w:val="en-US"/>
        </w:rPr>
        <w:t>Washington, DC: National Academies Press</w:t>
      </w:r>
      <w:r w:rsidRPr="001D6322">
        <w:rPr>
          <w:rFonts w:ascii="Times New Roman" w:eastAsia="Arial" w:hAnsi="Times New Roman" w:cs="Times New Roman"/>
          <w:color w:val="000000"/>
          <w:sz w:val="24"/>
          <w:szCs w:val="24"/>
          <w:lang w:val="en-US"/>
        </w:rPr>
        <w:t>.</w:t>
      </w:r>
    </w:p>
    <w:p w14:paraId="1A44DEE6" w14:textId="1CFFCA56" w:rsidR="00576BE6" w:rsidRPr="00576BE6" w:rsidRDefault="00576BE6"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r w:rsidRPr="00576BE6">
        <w:rPr>
          <w:rFonts w:ascii="Times New Roman" w:eastAsia="Arial" w:hAnsi="Times New Roman" w:cs="Times New Roman"/>
          <w:color w:val="000000"/>
          <w:sz w:val="24"/>
          <w:szCs w:val="24"/>
          <w:lang w:val="en-US"/>
        </w:rPr>
        <w:t xml:space="preserve">Luna, B., Garver, K. E., Urban, T., Lazar, N. A., &amp; Sweeney, J. A. (2004). Maturation of Cognitive Processes From Late Childhood to Adulthood. </w:t>
      </w:r>
      <w:r w:rsidRPr="004D5650">
        <w:rPr>
          <w:rFonts w:ascii="Times New Roman" w:eastAsia="Arial" w:hAnsi="Times New Roman" w:cs="Times New Roman"/>
          <w:i/>
          <w:iCs/>
          <w:color w:val="000000"/>
          <w:sz w:val="24"/>
          <w:szCs w:val="24"/>
          <w:lang w:val="en-US"/>
        </w:rPr>
        <w:t>Child Development,</w:t>
      </w:r>
      <w:r w:rsidRPr="00576BE6">
        <w:rPr>
          <w:rFonts w:ascii="Times New Roman" w:eastAsia="Arial" w:hAnsi="Times New Roman" w:cs="Times New Roman"/>
          <w:color w:val="000000"/>
          <w:sz w:val="24"/>
          <w:szCs w:val="24"/>
          <w:lang w:val="en-US"/>
        </w:rPr>
        <w:t xml:space="preserve"> 75(5), 1357-1372. https://doi.org/10.1111/j.1467-8624.2004.00745.x</w:t>
      </w:r>
    </w:p>
    <w:p w14:paraId="18878F2E" w14:textId="3DEB672D" w:rsidR="00576BE6" w:rsidRPr="00576BE6" w:rsidRDefault="00576BE6"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n-US"/>
        </w:rPr>
      </w:pPr>
      <w:proofErr w:type="spellStart"/>
      <w:r w:rsidRPr="002F3679">
        <w:rPr>
          <w:rFonts w:ascii="Times New Roman" w:eastAsia="Arial" w:hAnsi="Times New Roman" w:cs="Times New Roman"/>
          <w:color w:val="000000"/>
          <w:sz w:val="24"/>
          <w:szCs w:val="24"/>
          <w:lang w:val="en-US"/>
        </w:rPr>
        <w:t>Mañalich</w:t>
      </w:r>
      <w:proofErr w:type="spellEnd"/>
      <w:r w:rsidRPr="002F3679">
        <w:rPr>
          <w:rFonts w:ascii="Times New Roman" w:eastAsia="Arial" w:hAnsi="Times New Roman" w:cs="Times New Roman"/>
          <w:color w:val="000000"/>
          <w:sz w:val="24"/>
          <w:szCs w:val="24"/>
          <w:lang w:val="en-US"/>
        </w:rPr>
        <w:t xml:space="preserve">, J. P. (2014). </w:t>
      </w:r>
      <w:r w:rsidRPr="00576BE6">
        <w:rPr>
          <w:rFonts w:ascii="Times New Roman" w:eastAsia="Arial" w:hAnsi="Times New Roman" w:cs="Times New Roman"/>
          <w:color w:val="000000"/>
          <w:sz w:val="24"/>
          <w:szCs w:val="24"/>
        </w:rPr>
        <w:t xml:space="preserve">La violación como delito contra la indemnidad sexual bajo el derecho penal chileno. </w:t>
      </w:r>
      <w:r w:rsidRPr="004D5650">
        <w:rPr>
          <w:rFonts w:ascii="Times New Roman" w:eastAsia="Arial" w:hAnsi="Times New Roman" w:cs="Times New Roman"/>
          <w:i/>
          <w:iCs/>
          <w:color w:val="000000"/>
          <w:sz w:val="24"/>
          <w:szCs w:val="24"/>
          <w:lang w:val="en-US"/>
        </w:rPr>
        <w:t>Ius et Praxis,</w:t>
      </w:r>
      <w:r w:rsidRPr="00576BE6">
        <w:rPr>
          <w:rFonts w:ascii="Times New Roman" w:eastAsia="Arial" w:hAnsi="Times New Roman" w:cs="Times New Roman"/>
          <w:color w:val="000000"/>
          <w:sz w:val="24"/>
          <w:szCs w:val="24"/>
          <w:lang w:val="en-US"/>
        </w:rPr>
        <w:t xml:space="preserve"> 20(2), 21-70. https://scielo.conicyt.cl/pdf/iusetp/v20n2/art02.pdf</w:t>
      </w:r>
    </w:p>
    <w:p w14:paraId="76473796" w14:textId="5A05C959" w:rsidR="00971BF5" w:rsidRPr="00B84988" w:rsidRDefault="00971BF5" w:rsidP="00B939F3">
      <w:pPr>
        <w:pBdr>
          <w:top w:val="nil"/>
          <w:left w:val="nil"/>
          <w:bottom w:val="nil"/>
          <w:right w:val="nil"/>
          <w:between w:val="nil"/>
        </w:pBdr>
        <w:spacing w:line="240" w:lineRule="auto"/>
        <w:ind w:left="720" w:hanging="720"/>
        <w:jc w:val="both"/>
        <w:rPr>
          <w:rFonts w:ascii="Times New Roman" w:eastAsia="Arial" w:hAnsi="Times New Roman" w:cs="Times New Roman"/>
          <w:sz w:val="24"/>
          <w:szCs w:val="24"/>
          <w:lang w:val="en-US"/>
        </w:rPr>
      </w:pPr>
      <w:proofErr w:type="spellStart"/>
      <w:r w:rsidRPr="00971BF5">
        <w:rPr>
          <w:rFonts w:ascii="Times New Roman" w:eastAsia="Arial" w:hAnsi="Times New Roman" w:cs="Times New Roman"/>
          <w:color w:val="000000"/>
          <w:sz w:val="24"/>
          <w:szCs w:val="24"/>
        </w:rPr>
        <w:t>Melchiorre</w:t>
      </w:r>
      <w:proofErr w:type="spellEnd"/>
      <w:r w:rsidRPr="00971BF5">
        <w:rPr>
          <w:rFonts w:ascii="Times New Roman" w:eastAsia="Arial" w:hAnsi="Times New Roman" w:cs="Times New Roman"/>
          <w:color w:val="000000"/>
          <w:sz w:val="24"/>
          <w:szCs w:val="24"/>
        </w:rPr>
        <w:t xml:space="preserve">, A. (2004). ¿A qué edad son empleados, casados y llevados a juicio los niños y niñas en la escuela? </w:t>
      </w:r>
      <w:r w:rsidRPr="00971BF5">
        <w:rPr>
          <w:rFonts w:ascii="Times New Roman" w:eastAsia="Arial" w:hAnsi="Times New Roman" w:cs="Times New Roman"/>
          <w:color w:val="000000"/>
          <w:sz w:val="24"/>
          <w:szCs w:val="24"/>
          <w:lang w:val="en-US"/>
        </w:rPr>
        <w:t xml:space="preserve">(2da edición). Copenhague: </w:t>
      </w:r>
      <w:r w:rsidRPr="00971BF5">
        <w:rPr>
          <w:rFonts w:ascii="Times New Roman" w:eastAsia="Arial" w:hAnsi="Times New Roman" w:cs="Times New Roman"/>
          <w:i/>
          <w:iCs/>
          <w:color w:val="000000"/>
          <w:sz w:val="24"/>
          <w:szCs w:val="24"/>
          <w:lang w:val="en-US"/>
        </w:rPr>
        <w:t xml:space="preserve">The Right to Education Project. </w:t>
      </w:r>
      <w:hyperlink r:id="rId11" w:history="1">
        <w:r w:rsidR="00B84988" w:rsidRPr="00B84988">
          <w:rPr>
            <w:rStyle w:val="Hipervnculo"/>
            <w:rFonts w:ascii="Times New Roman" w:eastAsia="Arial" w:hAnsi="Times New Roman" w:cs="Times New Roman"/>
            <w:color w:val="auto"/>
            <w:sz w:val="24"/>
            <w:szCs w:val="24"/>
            <w:u w:val="none"/>
            <w:lang w:val="en-US"/>
          </w:rPr>
          <w:t>http://www.right-to-education.org</w:t>
        </w:r>
      </w:hyperlink>
      <w:r w:rsidRPr="00B84988">
        <w:rPr>
          <w:rFonts w:ascii="Times New Roman" w:eastAsia="Arial" w:hAnsi="Times New Roman" w:cs="Times New Roman"/>
          <w:sz w:val="24"/>
          <w:szCs w:val="24"/>
          <w:lang w:val="en-US"/>
        </w:rPr>
        <w:t>.</w:t>
      </w:r>
    </w:p>
    <w:p w14:paraId="4BA7551F" w14:textId="77777777" w:rsidR="00B84988" w:rsidRPr="00576BE6" w:rsidRDefault="00B84988"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B84988">
        <w:rPr>
          <w:rFonts w:ascii="Times New Roman" w:eastAsia="Arial" w:hAnsi="Times New Roman" w:cs="Times New Roman"/>
          <w:color w:val="000000"/>
          <w:sz w:val="24"/>
          <w:szCs w:val="24"/>
        </w:rPr>
        <w:t>Naciones Unidas,</w:t>
      </w:r>
      <w:r w:rsidRPr="00D049C9">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Proyecto de Milenio. </w:t>
      </w:r>
      <w:r w:rsidRPr="00D049C9">
        <w:rPr>
          <w:rFonts w:ascii="Times New Roman" w:eastAsia="Arial" w:hAnsi="Times New Roman" w:cs="Times New Roman"/>
          <w:color w:val="000000"/>
          <w:sz w:val="24"/>
          <w:szCs w:val="24"/>
        </w:rPr>
        <w:t xml:space="preserve">Grupo de Trabajo sobre Educación e Igualdad de Género. (2005). Tomando medidas: lograr la igualdad de género y empoderar a las mujeres. Capítulo 4: "Garantizar la salud y los derechos sexuales y reproductivos". </w:t>
      </w:r>
      <w:r w:rsidRPr="004D5650">
        <w:rPr>
          <w:rFonts w:ascii="Times New Roman" w:eastAsia="Arial" w:hAnsi="Times New Roman" w:cs="Times New Roman"/>
          <w:i/>
          <w:iCs/>
          <w:color w:val="000000"/>
          <w:sz w:val="24"/>
          <w:szCs w:val="24"/>
        </w:rPr>
        <w:t>Reimpreso en Estudios de planificación familiar</w:t>
      </w:r>
      <w:r w:rsidRPr="00D049C9">
        <w:rPr>
          <w:rFonts w:ascii="Times New Roman" w:eastAsia="Arial" w:hAnsi="Times New Roman" w:cs="Times New Roman"/>
          <w:color w:val="000000"/>
          <w:sz w:val="24"/>
          <w:szCs w:val="24"/>
        </w:rPr>
        <w:t>, 36(2), 148-157.</w:t>
      </w:r>
    </w:p>
    <w:p w14:paraId="4328E794" w14:textId="1FFD261E" w:rsidR="00B84988" w:rsidRPr="00B84988" w:rsidRDefault="00B84988"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B84988">
        <w:rPr>
          <w:rFonts w:ascii="Times New Roman" w:eastAsia="Arial" w:hAnsi="Times New Roman" w:cs="Times New Roman"/>
          <w:color w:val="000000"/>
          <w:sz w:val="24"/>
          <w:szCs w:val="24"/>
        </w:rPr>
        <w:t xml:space="preserve">Naciones Unidas. </w:t>
      </w:r>
      <w:r w:rsidRPr="004D5650">
        <w:rPr>
          <w:rFonts w:ascii="Times New Roman" w:eastAsia="Arial" w:hAnsi="Times New Roman" w:cs="Times New Roman"/>
          <w:i/>
          <w:iCs/>
          <w:color w:val="000000"/>
          <w:sz w:val="24"/>
          <w:szCs w:val="24"/>
        </w:rPr>
        <w:t>Reglas mínimas para la administración de la justicia de menores</w:t>
      </w:r>
      <w:r w:rsidRPr="00B84988">
        <w:rPr>
          <w:rFonts w:ascii="Times New Roman" w:eastAsia="Arial" w:hAnsi="Times New Roman" w:cs="Times New Roman"/>
          <w:color w:val="000000"/>
          <w:sz w:val="24"/>
          <w:szCs w:val="24"/>
        </w:rPr>
        <w:t>.</w:t>
      </w:r>
      <w:r w:rsidRPr="00063921">
        <w:rPr>
          <w:rFonts w:ascii="Times New Roman" w:eastAsia="Arial" w:hAnsi="Times New Roman" w:cs="Times New Roman"/>
          <w:color w:val="000000"/>
          <w:sz w:val="24"/>
          <w:szCs w:val="24"/>
        </w:rPr>
        <w:t xml:space="preserve"> (1985). "Reglas de Beijing". Beijing, Asamblea General de las Naciones Unidas: resolución 40/33.</w:t>
      </w:r>
      <w:r>
        <w:rPr>
          <w:rFonts w:ascii="Times New Roman" w:eastAsia="Arial" w:hAnsi="Times New Roman" w:cs="Times New Roman"/>
          <w:color w:val="000000"/>
          <w:sz w:val="24"/>
          <w:szCs w:val="24"/>
        </w:rPr>
        <w:t xml:space="preserve"> </w:t>
      </w:r>
      <w:r w:rsidRPr="00063921">
        <w:rPr>
          <w:rFonts w:ascii="Times New Roman" w:eastAsia="Arial" w:hAnsi="Times New Roman" w:cs="Times New Roman"/>
          <w:color w:val="000000"/>
          <w:sz w:val="24"/>
          <w:szCs w:val="24"/>
        </w:rPr>
        <w:t>http://www.cidh.org/ninez/pdf%20files/Reglas%20de%20Beijing.pdf</w:t>
      </w:r>
    </w:p>
    <w:p w14:paraId="13EAC5A0" w14:textId="51B410AE" w:rsidR="00A94B67" w:rsidRPr="00A94B67" w:rsidRDefault="00A94B67"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A94B67">
        <w:rPr>
          <w:rFonts w:ascii="Times New Roman" w:eastAsia="Arial" w:hAnsi="Times New Roman" w:cs="Times New Roman"/>
          <w:color w:val="000000"/>
          <w:sz w:val="24"/>
          <w:szCs w:val="24"/>
          <w:lang w:val="es-VE"/>
        </w:rPr>
        <w:t xml:space="preserve">Palacios, D. (noviembre de 2008). </w:t>
      </w:r>
      <w:r w:rsidRPr="004D5650">
        <w:rPr>
          <w:rFonts w:ascii="Times New Roman" w:eastAsia="Arial" w:hAnsi="Times New Roman" w:cs="Times New Roman"/>
          <w:i/>
          <w:iCs/>
          <w:color w:val="000000"/>
          <w:sz w:val="24"/>
          <w:szCs w:val="24"/>
          <w:lang w:val="es-VE"/>
        </w:rPr>
        <w:t>Educación para la sexualidad</w:t>
      </w:r>
      <w:r w:rsidRPr="00A94B67">
        <w:rPr>
          <w:rFonts w:ascii="Times New Roman" w:eastAsia="Arial" w:hAnsi="Times New Roman" w:cs="Times New Roman"/>
          <w:color w:val="000000"/>
          <w:sz w:val="24"/>
          <w:szCs w:val="24"/>
          <w:lang w:val="es-VE"/>
        </w:rPr>
        <w:t>. Ministerio de Educación. https://www.mineducacion.gov.co/1621/article-173947.html</w:t>
      </w:r>
    </w:p>
    <w:p w14:paraId="39DF8836" w14:textId="7A10EE65" w:rsidR="007F2F69" w:rsidRDefault="007F2F69"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proofErr w:type="spellStart"/>
      <w:r w:rsidRPr="007F2F69">
        <w:rPr>
          <w:rFonts w:ascii="Times New Roman" w:eastAsia="Arial" w:hAnsi="Times New Roman" w:cs="Times New Roman"/>
          <w:color w:val="000000"/>
          <w:sz w:val="24"/>
          <w:szCs w:val="24"/>
          <w:lang w:val="es-VE"/>
        </w:rPr>
        <w:t>Patton</w:t>
      </w:r>
      <w:proofErr w:type="spellEnd"/>
      <w:r w:rsidRPr="007F2F69">
        <w:rPr>
          <w:rFonts w:ascii="Times New Roman" w:eastAsia="Arial" w:hAnsi="Times New Roman" w:cs="Times New Roman"/>
          <w:color w:val="000000"/>
          <w:sz w:val="24"/>
          <w:szCs w:val="24"/>
          <w:lang w:val="es-VE"/>
        </w:rPr>
        <w:t xml:space="preserve">, G. C. y Viner, R. (2007). Salud del adolescente 1: Transiciones puberales en la salud. </w:t>
      </w:r>
      <w:r w:rsidRPr="00BD29A6">
        <w:rPr>
          <w:rFonts w:ascii="Times New Roman" w:eastAsia="Arial" w:hAnsi="Times New Roman" w:cs="Times New Roman"/>
          <w:i/>
          <w:iCs/>
          <w:color w:val="000000"/>
          <w:sz w:val="24"/>
          <w:szCs w:val="24"/>
          <w:lang w:val="es-VE"/>
        </w:rPr>
        <w:t>Lancet,</w:t>
      </w:r>
      <w:r w:rsidRPr="00BD29A6">
        <w:rPr>
          <w:rFonts w:ascii="Times New Roman" w:eastAsia="Arial" w:hAnsi="Times New Roman" w:cs="Times New Roman"/>
          <w:color w:val="000000"/>
          <w:sz w:val="24"/>
          <w:szCs w:val="24"/>
          <w:lang w:val="es-VE"/>
        </w:rPr>
        <w:t xml:space="preserve"> 369(9,567), 1,130-1,139.</w:t>
      </w:r>
    </w:p>
    <w:p w14:paraId="02241D58" w14:textId="4DABFEE0" w:rsidR="00A94B67" w:rsidRPr="00BD29A6" w:rsidRDefault="00A94B67"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lang w:val="es-VE"/>
        </w:rPr>
      </w:pPr>
      <w:r w:rsidRPr="00A94B67">
        <w:rPr>
          <w:rFonts w:ascii="Times New Roman" w:eastAsia="Arial" w:hAnsi="Times New Roman" w:cs="Times New Roman"/>
          <w:color w:val="000000"/>
          <w:sz w:val="24"/>
          <w:szCs w:val="24"/>
          <w:lang w:val="es-VE"/>
        </w:rPr>
        <w:t xml:space="preserve">Portafolio. (2021). Corte Constitucional tumbó cadena perpetua contra violadores de niños en Colombia. </w:t>
      </w:r>
      <w:r w:rsidRPr="004D5650">
        <w:rPr>
          <w:rFonts w:ascii="Times New Roman" w:eastAsia="Arial" w:hAnsi="Times New Roman" w:cs="Times New Roman"/>
          <w:i/>
          <w:iCs/>
          <w:color w:val="000000"/>
          <w:sz w:val="24"/>
          <w:szCs w:val="24"/>
          <w:lang w:val="es-VE"/>
        </w:rPr>
        <w:t>Portafolio.</w:t>
      </w:r>
      <w:r w:rsidRPr="00A94B67">
        <w:rPr>
          <w:rFonts w:ascii="Times New Roman" w:eastAsia="Arial" w:hAnsi="Times New Roman" w:cs="Times New Roman"/>
          <w:color w:val="000000"/>
          <w:sz w:val="24"/>
          <w:szCs w:val="24"/>
          <w:lang w:val="es-VE"/>
        </w:rPr>
        <w:t xml:space="preserve"> https://www.portafolio.co/economia/gobierno/corte-constitucional-tumbo-cadena-perpetua-contra-violadores-de-ninos-en-colombia-555839</w:t>
      </w:r>
    </w:p>
    <w:p w14:paraId="14669C0B" w14:textId="683DDCE3" w:rsidR="00576BE6" w:rsidRPr="00576BE6" w:rsidRDefault="00576BE6"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576BE6">
        <w:rPr>
          <w:rFonts w:ascii="Times New Roman" w:eastAsia="Arial" w:hAnsi="Times New Roman" w:cs="Times New Roman"/>
          <w:color w:val="000000"/>
          <w:sz w:val="24"/>
          <w:szCs w:val="24"/>
        </w:rPr>
        <w:t xml:space="preserve">Oficina en Colombia del Alto Comisionado de Naciones Unidas. (2010). </w:t>
      </w:r>
      <w:r w:rsidRPr="004D5650">
        <w:rPr>
          <w:rFonts w:ascii="Times New Roman" w:eastAsia="Arial" w:hAnsi="Times New Roman" w:cs="Times New Roman"/>
          <w:i/>
          <w:iCs/>
          <w:color w:val="000000"/>
          <w:sz w:val="24"/>
          <w:szCs w:val="24"/>
        </w:rPr>
        <w:t>Análisis sobre el actual hacinamiento carcelario y penitenciario en Colombia.</w:t>
      </w:r>
      <w:r w:rsidRPr="00576BE6">
        <w:rPr>
          <w:rFonts w:ascii="Times New Roman" w:eastAsia="Arial" w:hAnsi="Times New Roman" w:cs="Times New Roman"/>
          <w:color w:val="000000"/>
          <w:sz w:val="24"/>
          <w:szCs w:val="24"/>
        </w:rPr>
        <w:t xml:space="preserve"> http://www.defensoria.org.co/pdf/informes/informe_101.pdf</w:t>
      </w:r>
    </w:p>
    <w:p w14:paraId="4B317DFA" w14:textId="660BCB17" w:rsidR="00063921" w:rsidRPr="00063921" w:rsidRDefault="00063921"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7B7B82">
        <w:rPr>
          <w:rFonts w:ascii="Times New Roman" w:eastAsia="Arial" w:hAnsi="Times New Roman" w:cs="Times New Roman"/>
          <w:color w:val="000000"/>
          <w:sz w:val="24"/>
          <w:szCs w:val="24"/>
        </w:rPr>
        <w:t>Real Academia</w:t>
      </w:r>
      <w:r w:rsidR="00B84988">
        <w:rPr>
          <w:rFonts w:ascii="Times New Roman" w:eastAsia="Arial" w:hAnsi="Times New Roman" w:cs="Times New Roman"/>
          <w:color w:val="000000"/>
          <w:sz w:val="24"/>
          <w:szCs w:val="24"/>
        </w:rPr>
        <w:t xml:space="preserve"> </w:t>
      </w:r>
      <w:r w:rsidRPr="007B7B82">
        <w:rPr>
          <w:rFonts w:ascii="Times New Roman" w:eastAsia="Arial" w:hAnsi="Times New Roman" w:cs="Times New Roman"/>
          <w:color w:val="000000"/>
          <w:sz w:val="24"/>
          <w:szCs w:val="24"/>
        </w:rPr>
        <w:t>Española</w:t>
      </w:r>
      <w:r w:rsidR="00B84988">
        <w:rPr>
          <w:rFonts w:ascii="Times New Roman" w:eastAsia="Arial" w:hAnsi="Times New Roman" w:cs="Times New Roman"/>
          <w:color w:val="000000"/>
          <w:sz w:val="24"/>
          <w:szCs w:val="24"/>
        </w:rPr>
        <w:t xml:space="preserve"> RAE</w:t>
      </w:r>
      <w:r w:rsidRPr="00063921">
        <w:rPr>
          <w:rFonts w:ascii="Times New Roman" w:eastAsia="Arial" w:hAnsi="Times New Roman" w:cs="Times New Roman"/>
          <w:color w:val="000000"/>
          <w:sz w:val="24"/>
          <w:szCs w:val="24"/>
        </w:rPr>
        <w:t xml:space="preserve">. (1992). </w:t>
      </w:r>
      <w:r w:rsidRPr="004D5650">
        <w:rPr>
          <w:rFonts w:ascii="Times New Roman" w:eastAsia="Arial" w:hAnsi="Times New Roman" w:cs="Times New Roman"/>
          <w:i/>
          <w:iCs/>
          <w:color w:val="000000"/>
          <w:sz w:val="24"/>
          <w:szCs w:val="24"/>
        </w:rPr>
        <w:t>Concepto de la presunción</w:t>
      </w:r>
      <w:r w:rsidRPr="00063921">
        <w:rPr>
          <w:rFonts w:ascii="Times New Roman" w:eastAsia="Arial" w:hAnsi="Times New Roman" w:cs="Times New Roman"/>
          <w:color w:val="000000"/>
          <w:sz w:val="24"/>
          <w:szCs w:val="24"/>
        </w:rPr>
        <w:t>. Diccionario de español jurídico. https://dle.rae.es/presunci%C3%B3n</w:t>
      </w:r>
    </w:p>
    <w:p w14:paraId="54D4D26E" w14:textId="2B834072" w:rsidR="00063921" w:rsidRPr="00063921" w:rsidRDefault="00063921"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r w:rsidRPr="00063921">
        <w:rPr>
          <w:rFonts w:ascii="Times New Roman" w:eastAsia="Arial" w:hAnsi="Times New Roman" w:cs="Times New Roman"/>
          <w:color w:val="000000"/>
          <w:sz w:val="24"/>
          <w:szCs w:val="24"/>
        </w:rPr>
        <w:t xml:space="preserve">Rodríguez, J. (2010). </w:t>
      </w:r>
      <w:r w:rsidRPr="004D5650">
        <w:rPr>
          <w:rFonts w:ascii="Times New Roman" w:eastAsia="Arial" w:hAnsi="Times New Roman" w:cs="Times New Roman"/>
          <w:i/>
          <w:iCs/>
          <w:color w:val="000000"/>
          <w:sz w:val="24"/>
          <w:szCs w:val="24"/>
        </w:rPr>
        <w:t xml:space="preserve">Consentimiento ejercido sobre el bien jurídico, libertad sexual, emitido por un menor de catorce años </w:t>
      </w:r>
      <w:r w:rsidRPr="00063921">
        <w:rPr>
          <w:rFonts w:ascii="Times New Roman" w:eastAsia="Arial" w:hAnsi="Times New Roman" w:cs="Times New Roman"/>
          <w:color w:val="000000"/>
          <w:sz w:val="24"/>
          <w:szCs w:val="24"/>
        </w:rPr>
        <w:t>[Monografía de grado</w:t>
      </w:r>
      <w:r>
        <w:rPr>
          <w:rFonts w:ascii="Times New Roman" w:eastAsia="Arial" w:hAnsi="Times New Roman" w:cs="Times New Roman"/>
          <w:color w:val="000000"/>
          <w:sz w:val="24"/>
          <w:szCs w:val="24"/>
        </w:rPr>
        <w:t>, INCOTEC</w:t>
      </w:r>
      <w:r w:rsidRPr="00063921">
        <w:rPr>
          <w:rFonts w:ascii="Times New Roman" w:eastAsia="Arial" w:hAnsi="Times New Roman" w:cs="Times New Roman"/>
          <w:color w:val="000000"/>
          <w:sz w:val="24"/>
          <w:szCs w:val="24"/>
        </w:rPr>
        <w:t xml:space="preserve">].  </w:t>
      </w:r>
      <w:r w:rsidRPr="00063921">
        <w:rPr>
          <w:rFonts w:ascii="Times New Roman" w:eastAsia="Arial" w:hAnsi="Times New Roman" w:cs="Times New Roman"/>
          <w:color w:val="000000"/>
          <w:sz w:val="24"/>
          <w:szCs w:val="24"/>
        </w:rPr>
        <w:lastRenderedPageBreak/>
        <w:t>https://repository.urosario.edu.co/bitstream/handle/10336/2143/RodriguezRondon-JuanSebastian-2010.pdf?sequence=1&amp;isAllowed=y</w:t>
      </w:r>
    </w:p>
    <w:p w14:paraId="69B05CC3" w14:textId="01A60C72" w:rsidR="00AB1A24" w:rsidRPr="00063921" w:rsidRDefault="00AB1A24"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proofErr w:type="spellStart"/>
      <w:r w:rsidRPr="00AB1A24">
        <w:rPr>
          <w:rFonts w:ascii="Times New Roman" w:eastAsia="Arial" w:hAnsi="Times New Roman" w:cs="Times New Roman"/>
          <w:color w:val="000000"/>
          <w:sz w:val="24"/>
          <w:szCs w:val="24"/>
        </w:rPr>
        <w:t>Rogow</w:t>
      </w:r>
      <w:proofErr w:type="spellEnd"/>
      <w:r w:rsidRPr="00AB1A24">
        <w:rPr>
          <w:rFonts w:ascii="Times New Roman" w:eastAsia="Arial" w:hAnsi="Times New Roman" w:cs="Times New Roman"/>
          <w:color w:val="000000"/>
          <w:sz w:val="24"/>
          <w:szCs w:val="24"/>
        </w:rPr>
        <w:t xml:space="preserve">, D. y </w:t>
      </w:r>
      <w:proofErr w:type="spellStart"/>
      <w:r w:rsidRPr="00AB1A24">
        <w:rPr>
          <w:rFonts w:ascii="Times New Roman" w:eastAsia="Arial" w:hAnsi="Times New Roman" w:cs="Times New Roman"/>
          <w:color w:val="000000"/>
          <w:sz w:val="24"/>
          <w:szCs w:val="24"/>
        </w:rPr>
        <w:t>Haberland</w:t>
      </w:r>
      <w:proofErr w:type="spellEnd"/>
      <w:r w:rsidRPr="00AB1A24">
        <w:rPr>
          <w:rFonts w:ascii="Times New Roman" w:eastAsia="Arial" w:hAnsi="Times New Roman" w:cs="Times New Roman"/>
          <w:color w:val="000000"/>
          <w:sz w:val="24"/>
          <w:szCs w:val="24"/>
        </w:rPr>
        <w:t xml:space="preserve">, N. (2005). Educación en sexualidad y relaciones: hacia un enfoque de estudios sociales. </w:t>
      </w:r>
      <w:r w:rsidRPr="004D5650">
        <w:rPr>
          <w:rFonts w:ascii="Times New Roman" w:eastAsia="Arial" w:hAnsi="Times New Roman" w:cs="Times New Roman"/>
          <w:i/>
          <w:iCs/>
          <w:color w:val="000000"/>
          <w:sz w:val="24"/>
          <w:szCs w:val="24"/>
        </w:rPr>
        <w:t>Educación Sexual</w:t>
      </w:r>
      <w:r w:rsidRPr="00AB1A24">
        <w:rPr>
          <w:rFonts w:ascii="Times New Roman" w:eastAsia="Arial" w:hAnsi="Times New Roman" w:cs="Times New Roman"/>
          <w:color w:val="000000"/>
          <w:sz w:val="24"/>
          <w:szCs w:val="24"/>
        </w:rPr>
        <w:t xml:space="preserve"> 5(4): 333-344.</w:t>
      </w:r>
    </w:p>
    <w:p w14:paraId="09ABE245" w14:textId="1B7A2F08" w:rsidR="00063921" w:rsidRPr="00063921" w:rsidRDefault="00063921" w:rsidP="00B939F3">
      <w:pPr>
        <w:pBdr>
          <w:top w:val="nil"/>
          <w:left w:val="nil"/>
          <w:bottom w:val="nil"/>
          <w:right w:val="nil"/>
          <w:between w:val="nil"/>
        </w:pBdr>
        <w:spacing w:line="240" w:lineRule="auto"/>
        <w:ind w:left="720" w:hanging="720"/>
        <w:jc w:val="both"/>
        <w:rPr>
          <w:rFonts w:ascii="Times New Roman" w:eastAsia="Arial" w:hAnsi="Times New Roman" w:cs="Times New Roman"/>
          <w:color w:val="000000"/>
          <w:sz w:val="24"/>
          <w:szCs w:val="24"/>
        </w:rPr>
      </w:pPr>
      <w:proofErr w:type="spellStart"/>
      <w:r w:rsidRPr="00063921">
        <w:rPr>
          <w:rFonts w:ascii="Times New Roman" w:eastAsia="Arial" w:hAnsi="Times New Roman" w:cs="Times New Roman"/>
          <w:color w:val="000000"/>
          <w:sz w:val="24"/>
          <w:szCs w:val="24"/>
        </w:rPr>
        <w:t>Salamé</w:t>
      </w:r>
      <w:proofErr w:type="spellEnd"/>
      <w:r w:rsidRPr="00063921">
        <w:rPr>
          <w:rFonts w:ascii="Times New Roman" w:eastAsia="Arial" w:hAnsi="Times New Roman" w:cs="Times New Roman"/>
          <w:color w:val="000000"/>
          <w:sz w:val="24"/>
          <w:szCs w:val="24"/>
        </w:rPr>
        <w:t xml:space="preserve">, O. M., </w:t>
      </w:r>
      <w:proofErr w:type="spellStart"/>
      <w:r w:rsidRPr="00063921">
        <w:rPr>
          <w:rFonts w:ascii="Times New Roman" w:eastAsia="Arial" w:hAnsi="Times New Roman" w:cs="Times New Roman"/>
          <w:color w:val="000000"/>
          <w:sz w:val="24"/>
          <w:szCs w:val="24"/>
        </w:rPr>
        <w:t>Camandá</w:t>
      </w:r>
      <w:proofErr w:type="spellEnd"/>
      <w:r w:rsidRPr="00063921">
        <w:rPr>
          <w:rFonts w:ascii="Times New Roman" w:eastAsia="Arial" w:hAnsi="Times New Roman" w:cs="Times New Roman"/>
          <w:color w:val="000000"/>
          <w:sz w:val="24"/>
          <w:szCs w:val="24"/>
        </w:rPr>
        <w:t xml:space="preserve">, P. M., &amp; Lucas, S. F. (2020). La víctima en los delitos contra la integridad sexual. </w:t>
      </w:r>
      <w:r w:rsidRPr="004D5650">
        <w:rPr>
          <w:rFonts w:ascii="Times New Roman" w:eastAsia="Arial" w:hAnsi="Times New Roman" w:cs="Times New Roman"/>
          <w:i/>
          <w:iCs/>
          <w:color w:val="000000"/>
          <w:sz w:val="24"/>
          <w:szCs w:val="24"/>
        </w:rPr>
        <w:t>Universidad y sociedad,</w:t>
      </w:r>
      <w:r w:rsidRPr="00063921">
        <w:rPr>
          <w:rFonts w:ascii="Times New Roman" w:eastAsia="Arial" w:hAnsi="Times New Roman" w:cs="Times New Roman"/>
          <w:color w:val="000000"/>
          <w:sz w:val="24"/>
          <w:szCs w:val="24"/>
        </w:rPr>
        <w:t xml:space="preserve"> 353-363.  http://scielo.sld.cu/pdf/rus/v12n3/2218-3620-rus-12-03-353.pdf</w:t>
      </w:r>
    </w:p>
    <w:p w14:paraId="427AA6E1" w14:textId="1BBFA079" w:rsidR="00BC0C51" w:rsidRPr="00063921" w:rsidRDefault="00BC0C51" w:rsidP="00B939F3">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BC0C51">
        <w:rPr>
          <w:rFonts w:ascii="Times New Roman" w:hAnsi="Times New Roman" w:cs="Times New Roman"/>
          <w:sz w:val="24"/>
          <w:szCs w:val="24"/>
        </w:rPr>
        <w:t>odaColombia</w:t>
      </w:r>
      <w:proofErr w:type="spellEnd"/>
      <w:r w:rsidRPr="00BC0C51">
        <w:rPr>
          <w:rFonts w:ascii="Times New Roman" w:hAnsi="Times New Roman" w:cs="Times New Roman"/>
          <w:sz w:val="24"/>
          <w:szCs w:val="24"/>
        </w:rPr>
        <w:t>. (</w:t>
      </w:r>
      <w:r>
        <w:rPr>
          <w:rFonts w:ascii="Times New Roman" w:hAnsi="Times New Roman" w:cs="Times New Roman"/>
          <w:sz w:val="24"/>
          <w:szCs w:val="24"/>
        </w:rPr>
        <w:t>2023</w:t>
      </w:r>
      <w:r w:rsidRPr="00BC0C51">
        <w:rPr>
          <w:rFonts w:ascii="Times New Roman" w:hAnsi="Times New Roman" w:cs="Times New Roman"/>
          <w:sz w:val="24"/>
          <w:szCs w:val="24"/>
        </w:rPr>
        <w:t xml:space="preserve">). </w:t>
      </w:r>
      <w:r w:rsidRPr="00BC0C51">
        <w:rPr>
          <w:rFonts w:ascii="Times New Roman" w:hAnsi="Times New Roman" w:cs="Times New Roman"/>
          <w:i/>
          <w:iCs/>
          <w:sz w:val="24"/>
          <w:szCs w:val="24"/>
        </w:rPr>
        <w:t xml:space="preserve">Departamento de Caquetá.  </w:t>
      </w:r>
      <w:r w:rsidRPr="00BC0C51">
        <w:rPr>
          <w:rFonts w:ascii="Times New Roman" w:hAnsi="Times New Roman" w:cs="Times New Roman"/>
          <w:sz w:val="24"/>
          <w:szCs w:val="24"/>
        </w:rPr>
        <w:t>https://www.todacolombia.com/departamentos-de-colombia/caqueta/index.html</w:t>
      </w:r>
    </w:p>
    <w:p w14:paraId="1632C520" w14:textId="126620FC" w:rsidR="00971BF5" w:rsidRPr="00063921" w:rsidRDefault="00971BF5" w:rsidP="00B939F3">
      <w:pPr>
        <w:spacing w:line="240" w:lineRule="auto"/>
        <w:ind w:left="720" w:hanging="720"/>
        <w:jc w:val="both"/>
        <w:rPr>
          <w:rFonts w:ascii="Times New Roman" w:hAnsi="Times New Roman" w:cs="Times New Roman"/>
          <w:sz w:val="24"/>
          <w:szCs w:val="24"/>
        </w:rPr>
      </w:pPr>
      <w:r w:rsidRPr="00971BF5">
        <w:rPr>
          <w:rFonts w:ascii="Times New Roman" w:hAnsi="Times New Roman" w:cs="Times New Roman"/>
          <w:sz w:val="24"/>
          <w:szCs w:val="24"/>
        </w:rPr>
        <w:t xml:space="preserve">UNESCO. (2004). </w:t>
      </w:r>
      <w:proofErr w:type="spellStart"/>
      <w:r w:rsidRPr="00971BF5">
        <w:rPr>
          <w:rFonts w:ascii="Times New Roman" w:hAnsi="Times New Roman" w:cs="Times New Roman"/>
          <w:sz w:val="24"/>
          <w:szCs w:val="24"/>
        </w:rPr>
        <w:t>Digest</w:t>
      </w:r>
      <w:proofErr w:type="spellEnd"/>
      <w:r w:rsidRPr="00971BF5">
        <w:rPr>
          <w:rFonts w:ascii="Times New Roman" w:hAnsi="Times New Roman" w:cs="Times New Roman"/>
          <w:sz w:val="24"/>
          <w:szCs w:val="24"/>
        </w:rPr>
        <w:t xml:space="preserve"> de Educación Mundial 2004</w:t>
      </w:r>
      <w:r w:rsidRPr="00971BF5">
        <w:rPr>
          <w:rFonts w:ascii="Times New Roman" w:hAnsi="Times New Roman" w:cs="Times New Roman"/>
          <w:i/>
          <w:iCs/>
          <w:sz w:val="24"/>
          <w:szCs w:val="24"/>
        </w:rPr>
        <w:t>. Montreal: Instituto de Estadística de la UNESCO</w:t>
      </w:r>
      <w:r w:rsidRPr="00971BF5">
        <w:rPr>
          <w:rFonts w:ascii="Times New Roman" w:hAnsi="Times New Roman" w:cs="Times New Roman"/>
          <w:sz w:val="24"/>
          <w:szCs w:val="24"/>
        </w:rPr>
        <w:t>. http://stats.uis.unesco.org.</w:t>
      </w:r>
    </w:p>
    <w:p w14:paraId="03DEB6D6" w14:textId="4A06EA03" w:rsidR="0063426E" w:rsidRDefault="00063921" w:rsidP="00B939F3">
      <w:pPr>
        <w:spacing w:line="240" w:lineRule="auto"/>
        <w:ind w:left="720" w:hanging="720"/>
        <w:jc w:val="both"/>
        <w:rPr>
          <w:rFonts w:ascii="Times New Roman" w:hAnsi="Times New Roman" w:cs="Times New Roman"/>
          <w:sz w:val="24"/>
          <w:szCs w:val="24"/>
        </w:rPr>
      </w:pPr>
      <w:r w:rsidRPr="00063921">
        <w:rPr>
          <w:rFonts w:ascii="Times New Roman" w:hAnsi="Times New Roman" w:cs="Times New Roman"/>
          <w:sz w:val="24"/>
          <w:szCs w:val="24"/>
        </w:rPr>
        <w:t xml:space="preserve">Venegas, A. S. (2007). Presunciones y ficciones en el impuesto sobre la renta de las personas físicas en México. </w:t>
      </w:r>
      <w:r w:rsidRPr="004D5650">
        <w:rPr>
          <w:rFonts w:ascii="Times New Roman" w:hAnsi="Times New Roman" w:cs="Times New Roman"/>
          <w:i/>
          <w:iCs/>
          <w:sz w:val="24"/>
          <w:szCs w:val="24"/>
        </w:rPr>
        <w:t>Universidad Nacional Autónoma de México.</w:t>
      </w:r>
      <w:r w:rsidRPr="00063921">
        <w:rPr>
          <w:rFonts w:ascii="Times New Roman" w:hAnsi="Times New Roman" w:cs="Times New Roman"/>
          <w:sz w:val="24"/>
          <w:szCs w:val="24"/>
        </w:rPr>
        <w:t xml:space="preserve"> </w:t>
      </w:r>
      <w:r w:rsidR="00971BF5" w:rsidRPr="00BC0C51">
        <w:rPr>
          <w:rFonts w:ascii="Times New Roman" w:hAnsi="Times New Roman" w:cs="Times New Roman"/>
          <w:sz w:val="24"/>
          <w:szCs w:val="24"/>
        </w:rPr>
        <w:t>http://ru.juridicas.unam.mx/xmlui/handle/123456789/11402</w:t>
      </w:r>
    </w:p>
    <w:p w14:paraId="03DEB6D7" w14:textId="3AAC1C34" w:rsidR="0063426E" w:rsidRPr="00703BDE" w:rsidRDefault="00971BF5" w:rsidP="00B939F3">
      <w:pPr>
        <w:spacing w:line="240" w:lineRule="auto"/>
        <w:ind w:left="720" w:hanging="720"/>
        <w:jc w:val="both"/>
        <w:rPr>
          <w:rFonts w:ascii="Times New Roman" w:hAnsi="Times New Roman" w:cs="Times New Roman"/>
          <w:sz w:val="24"/>
          <w:szCs w:val="24"/>
        </w:rPr>
      </w:pPr>
      <w:r w:rsidRPr="00971BF5">
        <w:rPr>
          <w:rFonts w:ascii="Times New Roman" w:hAnsi="Times New Roman" w:cs="Times New Roman"/>
          <w:sz w:val="24"/>
          <w:szCs w:val="24"/>
        </w:rPr>
        <w:t xml:space="preserve">Warner, E. (2004). Detrás del velo nupcial: el matrimonio infantil como forma de tráfico de niñas. </w:t>
      </w:r>
      <w:proofErr w:type="spellStart"/>
      <w:r w:rsidRPr="00971BF5">
        <w:rPr>
          <w:rFonts w:ascii="Times New Roman" w:hAnsi="Times New Roman" w:cs="Times New Roman"/>
          <w:i/>
          <w:iCs/>
          <w:sz w:val="24"/>
          <w:szCs w:val="24"/>
        </w:rPr>
        <w:t>Journal</w:t>
      </w:r>
      <w:proofErr w:type="spellEnd"/>
      <w:r w:rsidRPr="00971BF5">
        <w:rPr>
          <w:rFonts w:ascii="Times New Roman" w:hAnsi="Times New Roman" w:cs="Times New Roman"/>
          <w:i/>
          <w:iCs/>
          <w:sz w:val="24"/>
          <w:szCs w:val="24"/>
        </w:rPr>
        <w:t xml:space="preserve"> </w:t>
      </w:r>
      <w:proofErr w:type="spellStart"/>
      <w:r w:rsidRPr="00971BF5">
        <w:rPr>
          <w:rFonts w:ascii="Times New Roman" w:hAnsi="Times New Roman" w:cs="Times New Roman"/>
          <w:i/>
          <w:iCs/>
          <w:sz w:val="24"/>
          <w:szCs w:val="24"/>
        </w:rPr>
        <w:t>of</w:t>
      </w:r>
      <w:proofErr w:type="spellEnd"/>
      <w:r w:rsidRPr="00971BF5">
        <w:rPr>
          <w:rFonts w:ascii="Times New Roman" w:hAnsi="Times New Roman" w:cs="Times New Roman"/>
          <w:i/>
          <w:iCs/>
          <w:sz w:val="24"/>
          <w:szCs w:val="24"/>
        </w:rPr>
        <w:t xml:space="preserve"> </w:t>
      </w:r>
      <w:proofErr w:type="spellStart"/>
      <w:r w:rsidRPr="00971BF5">
        <w:rPr>
          <w:rFonts w:ascii="Times New Roman" w:hAnsi="Times New Roman" w:cs="Times New Roman"/>
          <w:i/>
          <w:iCs/>
          <w:sz w:val="24"/>
          <w:szCs w:val="24"/>
        </w:rPr>
        <w:t>Gender</w:t>
      </w:r>
      <w:proofErr w:type="spellEnd"/>
      <w:r w:rsidRPr="00971BF5">
        <w:rPr>
          <w:rFonts w:ascii="Times New Roman" w:hAnsi="Times New Roman" w:cs="Times New Roman"/>
          <w:i/>
          <w:iCs/>
          <w:sz w:val="24"/>
          <w:szCs w:val="24"/>
        </w:rPr>
        <w:t xml:space="preserve">, Social </w:t>
      </w:r>
      <w:proofErr w:type="spellStart"/>
      <w:r w:rsidRPr="00971BF5">
        <w:rPr>
          <w:rFonts w:ascii="Times New Roman" w:hAnsi="Times New Roman" w:cs="Times New Roman"/>
          <w:i/>
          <w:iCs/>
          <w:sz w:val="24"/>
          <w:szCs w:val="24"/>
        </w:rPr>
        <w:t>Policy</w:t>
      </w:r>
      <w:proofErr w:type="spellEnd"/>
      <w:r w:rsidRPr="00971BF5">
        <w:rPr>
          <w:rFonts w:ascii="Times New Roman" w:hAnsi="Times New Roman" w:cs="Times New Roman"/>
          <w:i/>
          <w:iCs/>
          <w:sz w:val="24"/>
          <w:szCs w:val="24"/>
        </w:rPr>
        <w:t xml:space="preserve"> &amp; </w:t>
      </w:r>
      <w:proofErr w:type="spellStart"/>
      <w:r w:rsidRPr="00971BF5">
        <w:rPr>
          <w:rFonts w:ascii="Times New Roman" w:hAnsi="Times New Roman" w:cs="Times New Roman"/>
          <w:i/>
          <w:iCs/>
          <w:sz w:val="24"/>
          <w:szCs w:val="24"/>
        </w:rPr>
        <w:t>the</w:t>
      </w:r>
      <w:proofErr w:type="spellEnd"/>
      <w:r w:rsidRPr="00971BF5">
        <w:rPr>
          <w:rFonts w:ascii="Times New Roman" w:hAnsi="Times New Roman" w:cs="Times New Roman"/>
          <w:i/>
          <w:iCs/>
          <w:sz w:val="24"/>
          <w:szCs w:val="24"/>
        </w:rPr>
        <w:t xml:space="preserve"> </w:t>
      </w:r>
      <w:proofErr w:type="spellStart"/>
      <w:r w:rsidRPr="00971BF5">
        <w:rPr>
          <w:rFonts w:ascii="Times New Roman" w:hAnsi="Times New Roman" w:cs="Times New Roman"/>
          <w:i/>
          <w:iCs/>
          <w:sz w:val="24"/>
          <w:szCs w:val="24"/>
        </w:rPr>
        <w:t>Law</w:t>
      </w:r>
      <w:proofErr w:type="spellEnd"/>
      <w:r w:rsidRPr="00971BF5">
        <w:rPr>
          <w:rFonts w:ascii="Times New Roman" w:hAnsi="Times New Roman" w:cs="Times New Roman"/>
          <w:i/>
          <w:iCs/>
          <w:sz w:val="24"/>
          <w:szCs w:val="24"/>
        </w:rPr>
        <w:t>,</w:t>
      </w:r>
      <w:r w:rsidRPr="00971BF5">
        <w:rPr>
          <w:rFonts w:ascii="Times New Roman" w:hAnsi="Times New Roman" w:cs="Times New Roman"/>
          <w:sz w:val="24"/>
          <w:szCs w:val="24"/>
        </w:rPr>
        <w:t xml:space="preserve"> 12(2), 233-271.</w:t>
      </w:r>
    </w:p>
    <w:sectPr w:rsidR="0063426E" w:rsidRPr="00703BDE" w:rsidSect="00EF68C2">
      <w:headerReference w:type="default" r:id="rId12"/>
      <w:pgSz w:w="12240" w:h="15840"/>
      <w:pgMar w:top="1440" w:right="1440" w:bottom="144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FBB1" w14:textId="77777777" w:rsidR="00F3634E" w:rsidRDefault="00F3634E">
      <w:pPr>
        <w:spacing w:after="0" w:line="240" w:lineRule="auto"/>
      </w:pPr>
      <w:r>
        <w:separator/>
      </w:r>
    </w:p>
  </w:endnote>
  <w:endnote w:type="continuationSeparator" w:id="0">
    <w:p w14:paraId="2467FD35" w14:textId="77777777" w:rsidR="00F3634E" w:rsidRDefault="00F3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6C77" w14:textId="77777777" w:rsidR="00F3634E" w:rsidRDefault="00F3634E">
      <w:pPr>
        <w:spacing w:after="0" w:line="240" w:lineRule="auto"/>
      </w:pPr>
      <w:r>
        <w:separator/>
      </w:r>
    </w:p>
  </w:footnote>
  <w:footnote w:type="continuationSeparator" w:id="0">
    <w:p w14:paraId="4D6F4D2C" w14:textId="77777777" w:rsidR="00F3634E" w:rsidRDefault="00F36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B6DE" w14:textId="27E2BD55" w:rsidR="003628F2" w:rsidRDefault="003E2FF5" w:rsidP="002732B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color w:val="000000"/>
      </w:rPr>
      <w:t xml:space="preserve">El consentimiento de los menores entre 12 y 14 años en los delitos sexuales                                   </w:t>
    </w:r>
    <w:r>
      <w:rPr>
        <w:rFonts w:ascii="Times New Roman" w:eastAsia="Times New Roman" w:hAnsi="Times New Roman" w:cs="Times New Roman"/>
        <w:color w:val="000000"/>
        <w:sz w:val="24"/>
        <w:szCs w:val="24"/>
      </w:rPr>
      <w:t xml:space="preserve"> </w:t>
    </w:r>
    <w:r w:rsidR="003628F2">
      <w:rPr>
        <w:rFonts w:ascii="Times New Roman" w:eastAsia="Times New Roman" w:hAnsi="Times New Roman" w:cs="Times New Roman"/>
        <w:color w:val="000000"/>
        <w:sz w:val="24"/>
        <w:szCs w:val="24"/>
      </w:rPr>
      <w:fldChar w:fldCharType="begin"/>
    </w:r>
    <w:r w:rsidR="003628F2">
      <w:rPr>
        <w:rFonts w:ascii="Times New Roman" w:eastAsia="Times New Roman" w:hAnsi="Times New Roman" w:cs="Times New Roman"/>
        <w:color w:val="000000"/>
        <w:sz w:val="24"/>
        <w:szCs w:val="24"/>
      </w:rPr>
      <w:instrText>PAGE</w:instrText>
    </w:r>
    <w:r w:rsidR="003628F2">
      <w:rPr>
        <w:rFonts w:ascii="Times New Roman" w:eastAsia="Times New Roman" w:hAnsi="Times New Roman" w:cs="Times New Roman"/>
        <w:color w:val="000000"/>
        <w:sz w:val="24"/>
        <w:szCs w:val="24"/>
      </w:rPr>
      <w:fldChar w:fldCharType="separate"/>
    </w:r>
    <w:r w:rsidR="007B7B82">
      <w:rPr>
        <w:rFonts w:ascii="Times New Roman" w:eastAsia="Times New Roman" w:hAnsi="Times New Roman" w:cs="Times New Roman"/>
        <w:noProof/>
        <w:color w:val="000000"/>
        <w:sz w:val="24"/>
        <w:szCs w:val="24"/>
      </w:rPr>
      <w:t>21</w:t>
    </w:r>
    <w:r w:rsidR="003628F2">
      <w:rPr>
        <w:rFonts w:ascii="Times New Roman" w:eastAsia="Times New Roman" w:hAnsi="Times New Roman" w:cs="Times New Roman"/>
        <w:color w:val="000000"/>
        <w:sz w:val="24"/>
        <w:szCs w:val="24"/>
      </w:rPr>
      <w:fldChar w:fldCharType="end"/>
    </w:r>
  </w:p>
  <w:p w14:paraId="03DEB6DF" w14:textId="1599BCAB" w:rsidR="003628F2" w:rsidRDefault="003628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394"/>
    <w:multiLevelType w:val="hybridMultilevel"/>
    <w:tmpl w:val="E28841D6"/>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 w15:restartNumberingAfterBreak="0">
    <w:nsid w:val="0562249F"/>
    <w:multiLevelType w:val="hybridMultilevel"/>
    <w:tmpl w:val="565C66AC"/>
    <w:lvl w:ilvl="0" w:tplc="7BE4426A">
      <w:start w:val="1"/>
      <w:numFmt w:val="lowerRoman"/>
      <w:lvlText w:val="(%1)"/>
      <w:lvlJc w:val="left"/>
      <w:pPr>
        <w:ind w:left="720" w:hanging="720"/>
      </w:pPr>
      <w:rPr>
        <w:b w:val="0"/>
        <w:bCs w:val="0"/>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6521A1C"/>
    <w:multiLevelType w:val="multilevel"/>
    <w:tmpl w:val="A4E45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9052D"/>
    <w:multiLevelType w:val="hybridMultilevel"/>
    <w:tmpl w:val="98708A4C"/>
    <w:lvl w:ilvl="0" w:tplc="F68636A4">
      <w:start w:val="1"/>
      <w:numFmt w:val="lowerRoman"/>
      <w:lvlText w:val="(%1)"/>
      <w:lvlJc w:val="left"/>
      <w:pPr>
        <w:ind w:left="720" w:hanging="72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117E54C0"/>
    <w:multiLevelType w:val="hybridMultilevel"/>
    <w:tmpl w:val="ACDAD92A"/>
    <w:lvl w:ilvl="0" w:tplc="6E4832FE">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11D25EC0"/>
    <w:multiLevelType w:val="hybridMultilevel"/>
    <w:tmpl w:val="0D2CB97C"/>
    <w:lvl w:ilvl="0" w:tplc="83F25C94">
      <w:start w:val="1"/>
      <w:numFmt w:val="lowerRoman"/>
      <w:lvlText w:val="(%1)"/>
      <w:lvlJc w:val="left"/>
      <w:pPr>
        <w:ind w:left="720" w:hanging="72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13CC2961"/>
    <w:multiLevelType w:val="multilevel"/>
    <w:tmpl w:val="2EAE2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C7936"/>
    <w:multiLevelType w:val="hybridMultilevel"/>
    <w:tmpl w:val="C92AEBEA"/>
    <w:lvl w:ilvl="0" w:tplc="6E4832FE">
      <w:start w:val="1"/>
      <w:numFmt w:val="lowerRoman"/>
      <w:lvlText w:val="(%1)"/>
      <w:lvlJc w:val="left"/>
      <w:pPr>
        <w:ind w:left="1800" w:hanging="72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15:restartNumberingAfterBreak="0">
    <w:nsid w:val="178C16FD"/>
    <w:multiLevelType w:val="multilevel"/>
    <w:tmpl w:val="42ECB34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870D81"/>
    <w:multiLevelType w:val="hybridMultilevel"/>
    <w:tmpl w:val="4674334E"/>
    <w:lvl w:ilvl="0" w:tplc="16180F40">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21562572"/>
    <w:multiLevelType w:val="hybridMultilevel"/>
    <w:tmpl w:val="A09C26BC"/>
    <w:lvl w:ilvl="0" w:tplc="F68636A4">
      <w:start w:val="1"/>
      <w:numFmt w:val="lowerRoman"/>
      <w:lvlText w:val="(%1)"/>
      <w:lvlJc w:val="left"/>
      <w:pPr>
        <w:ind w:left="720" w:hanging="72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23D608F5"/>
    <w:multiLevelType w:val="hybridMultilevel"/>
    <w:tmpl w:val="809426B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DC6D5C"/>
    <w:multiLevelType w:val="hybridMultilevel"/>
    <w:tmpl w:val="40FC7C70"/>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3" w15:restartNumberingAfterBreak="0">
    <w:nsid w:val="2BCC59D5"/>
    <w:multiLevelType w:val="hybridMultilevel"/>
    <w:tmpl w:val="48E02304"/>
    <w:lvl w:ilvl="0" w:tplc="D062C75A">
      <w:start w:val="3"/>
      <w:numFmt w:val="bullet"/>
      <w:lvlText w:val="-"/>
      <w:lvlJc w:val="left"/>
      <w:pPr>
        <w:ind w:left="1068" w:hanging="360"/>
      </w:pPr>
      <w:rPr>
        <w:rFonts w:ascii="Times New Roman" w:eastAsia="Times New Roman"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344E5F14"/>
    <w:multiLevelType w:val="hybridMultilevel"/>
    <w:tmpl w:val="74AE95FE"/>
    <w:lvl w:ilvl="0" w:tplc="4EBAA25E">
      <w:start w:val="1"/>
      <w:numFmt w:val="lowerLetter"/>
      <w:lvlText w:val="%1)"/>
      <w:lvlJc w:val="left"/>
      <w:pPr>
        <w:ind w:left="1065" w:hanging="360"/>
      </w:p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15" w15:restartNumberingAfterBreak="0">
    <w:nsid w:val="3BD92CE5"/>
    <w:multiLevelType w:val="multilevel"/>
    <w:tmpl w:val="1DEA0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A42DA4"/>
    <w:multiLevelType w:val="hybridMultilevel"/>
    <w:tmpl w:val="919C7E92"/>
    <w:lvl w:ilvl="0" w:tplc="736217F0">
      <w:start w:val="1"/>
      <w:numFmt w:val="lowerRoman"/>
      <w:lvlText w:val="(%1)"/>
      <w:lvlJc w:val="left"/>
      <w:pPr>
        <w:ind w:left="1440" w:hanging="72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7" w15:restartNumberingAfterBreak="0">
    <w:nsid w:val="427C61B0"/>
    <w:multiLevelType w:val="hybridMultilevel"/>
    <w:tmpl w:val="16F03288"/>
    <w:lvl w:ilvl="0" w:tplc="9C3E8B22">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347369A"/>
    <w:multiLevelType w:val="multilevel"/>
    <w:tmpl w:val="ED7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00DEA"/>
    <w:multiLevelType w:val="hybridMultilevel"/>
    <w:tmpl w:val="1AB4BDE6"/>
    <w:lvl w:ilvl="0" w:tplc="FC74813A">
      <w:start w:val="1"/>
      <w:numFmt w:val="lowerRoman"/>
      <w:lvlText w:val="(%1)"/>
      <w:lvlJc w:val="left"/>
      <w:pPr>
        <w:ind w:left="1440" w:hanging="72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0" w15:restartNumberingAfterBreak="0">
    <w:nsid w:val="5E703310"/>
    <w:multiLevelType w:val="multilevel"/>
    <w:tmpl w:val="5A34D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D81609"/>
    <w:multiLevelType w:val="multilevel"/>
    <w:tmpl w:val="FF32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333888"/>
    <w:multiLevelType w:val="hybridMultilevel"/>
    <w:tmpl w:val="0018D34C"/>
    <w:lvl w:ilvl="0" w:tplc="F968B2CE">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68183326"/>
    <w:multiLevelType w:val="multilevel"/>
    <w:tmpl w:val="C63EBE86"/>
    <w:lvl w:ilvl="0">
      <w:start w:val="1"/>
      <w:numFmt w:val="decimal"/>
      <w:lvlText w:val="%1."/>
      <w:lvlJc w:val="left"/>
      <w:pPr>
        <w:ind w:left="360" w:hanging="360"/>
      </w:pPr>
    </w:lvl>
    <w:lvl w:ilvl="1">
      <w:start w:val="3"/>
      <w:numFmt w:val="decimal"/>
      <w:lvlText w:val="%1.%2."/>
      <w:lvlJc w:val="left"/>
      <w:pPr>
        <w:ind w:left="360" w:hanging="360"/>
      </w:pPr>
      <w:rPr>
        <w:sz w:val="24"/>
        <w:szCs w:val="24"/>
      </w:rPr>
    </w:lvl>
    <w:lvl w:ilvl="2">
      <w:start w:val="1"/>
      <w:numFmt w:val="decimal"/>
      <w:lvlText w:val="%1.%2.%3."/>
      <w:lvlJc w:val="left"/>
      <w:pPr>
        <w:ind w:left="720" w:hanging="720"/>
      </w:pPr>
      <w:rPr>
        <w:b/>
        <w:bCs/>
        <w:i w:val="0"/>
        <w:iCs/>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EEB77E0"/>
    <w:multiLevelType w:val="multilevel"/>
    <w:tmpl w:val="5A748078"/>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3D37BF"/>
    <w:multiLevelType w:val="hybridMultilevel"/>
    <w:tmpl w:val="183AB288"/>
    <w:lvl w:ilvl="0" w:tplc="7BE4426A">
      <w:start w:val="1"/>
      <w:numFmt w:val="lowerRoman"/>
      <w:lvlText w:val="(%1)"/>
      <w:lvlJc w:val="left"/>
      <w:pPr>
        <w:ind w:left="720" w:hanging="720"/>
      </w:pPr>
      <w:rPr>
        <w:b w:val="0"/>
        <w:bCs w:val="0"/>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15:restartNumberingAfterBreak="0">
    <w:nsid w:val="71F763DA"/>
    <w:multiLevelType w:val="hybridMultilevel"/>
    <w:tmpl w:val="FA8C7E58"/>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7" w15:restartNumberingAfterBreak="0">
    <w:nsid w:val="75A21400"/>
    <w:multiLevelType w:val="multilevel"/>
    <w:tmpl w:val="14508112"/>
    <w:lvl w:ilvl="0">
      <w:start w:val="1"/>
      <w:numFmt w:val="decimal"/>
      <w:lvlText w:val="%1."/>
      <w:lvlJc w:val="left"/>
      <w:pPr>
        <w:ind w:left="360" w:hanging="360"/>
      </w:pPr>
    </w:lvl>
    <w:lvl w:ilvl="1">
      <w:start w:val="1"/>
      <w:numFmt w:val="decimal"/>
      <w:lvlText w:val="%1.%2."/>
      <w:lvlJc w:val="left"/>
      <w:pPr>
        <w:ind w:left="501" w:hanging="360"/>
      </w:pPr>
      <w:rPr>
        <w:sz w:val="24"/>
        <w:szCs w:val="24"/>
      </w:rPr>
    </w:lvl>
    <w:lvl w:ilvl="2">
      <w:start w:val="1"/>
      <w:numFmt w:val="decimal"/>
      <w:lvlText w:val="%1.%2.%3."/>
      <w:lvlJc w:val="left"/>
      <w:pPr>
        <w:ind w:left="720" w:hanging="720"/>
      </w:pPr>
      <w:rPr>
        <w:rFonts w:ascii="Times New Roman" w:hAnsi="Times New Roman" w:cs="Times New Roman" w:hint="default"/>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69B5D88"/>
    <w:multiLevelType w:val="hybridMultilevel"/>
    <w:tmpl w:val="B128E41A"/>
    <w:lvl w:ilvl="0" w:tplc="51A819E4">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2057047820">
    <w:abstractNumId w:val="20"/>
  </w:num>
  <w:num w:numId="2" w16cid:durableId="1500074703">
    <w:abstractNumId w:val="6"/>
  </w:num>
  <w:num w:numId="3" w16cid:durableId="366374777">
    <w:abstractNumId w:val="21"/>
  </w:num>
  <w:num w:numId="4" w16cid:durableId="1767993976">
    <w:abstractNumId w:val="2"/>
  </w:num>
  <w:num w:numId="5" w16cid:durableId="420613521">
    <w:abstractNumId w:val="27"/>
  </w:num>
  <w:num w:numId="6" w16cid:durableId="815606009">
    <w:abstractNumId w:val="23"/>
  </w:num>
  <w:num w:numId="7" w16cid:durableId="1963725229">
    <w:abstractNumId w:val="24"/>
  </w:num>
  <w:num w:numId="8" w16cid:durableId="1147549779">
    <w:abstractNumId w:val="8"/>
  </w:num>
  <w:num w:numId="9" w16cid:durableId="41485751">
    <w:abstractNumId w:val="13"/>
  </w:num>
  <w:num w:numId="10" w16cid:durableId="8764288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059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906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659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181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3843638">
    <w:abstractNumId w:val="22"/>
  </w:num>
  <w:num w:numId="16" w16cid:durableId="1754888807">
    <w:abstractNumId w:val="15"/>
  </w:num>
  <w:num w:numId="17" w16cid:durableId="88358054">
    <w:abstractNumId w:val="18"/>
  </w:num>
  <w:num w:numId="18" w16cid:durableId="536089488">
    <w:abstractNumId w:val="11"/>
  </w:num>
  <w:num w:numId="19" w16cid:durableId="354776004">
    <w:abstractNumId w:val="0"/>
  </w:num>
  <w:num w:numId="20" w16cid:durableId="105928600">
    <w:abstractNumId w:val="12"/>
  </w:num>
  <w:num w:numId="21" w16cid:durableId="125902819">
    <w:abstractNumId w:val="26"/>
  </w:num>
  <w:num w:numId="22" w16cid:durableId="995763250">
    <w:abstractNumId w:val="16"/>
  </w:num>
  <w:num w:numId="23" w16cid:durableId="1909923528">
    <w:abstractNumId w:val="28"/>
  </w:num>
  <w:num w:numId="24" w16cid:durableId="2086951147">
    <w:abstractNumId w:val="25"/>
  </w:num>
  <w:num w:numId="25" w16cid:durableId="1826117634">
    <w:abstractNumId w:val="1"/>
  </w:num>
  <w:num w:numId="26" w16cid:durableId="1575434693">
    <w:abstractNumId w:val="9"/>
  </w:num>
  <w:num w:numId="27" w16cid:durableId="258684920">
    <w:abstractNumId w:val="10"/>
  </w:num>
  <w:num w:numId="28" w16cid:durableId="2109887199">
    <w:abstractNumId w:val="3"/>
  </w:num>
  <w:num w:numId="29" w16cid:durableId="1101803353">
    <w:abstractNumId w:val="4"/>
  </w:num>
  <w:num w:numId="30" w16cid:durableId="563296983">
    <w:abstractNumId w:val="7"/>
  </w:num>
  <w:num w:numId="31" w16cid:durableId="1088311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6E"/>
    <w:rsid w:val="00002590"/>
    <w:rsid w:val="0000449C"/>
    <w:rsid w:val="0000501D"/>
    <w:rsid w:val="00005F90"/>
    <w:rsid w:val="0000681D"/>
    <w:rsid w:val="00007032"/>
    <w:rsid w:val="00007C86"/>
    <w:rsid w:val="000125EE"/>
    <w:rsid w:val="00014758"/>
    <w:rsid w:val="00014C5D"/>
    <w:rsid w:val="00020E55"/>
    <w:rsid w:val="000228C1"/>
    <w:rsid w:val="00023182"/>
    <w:rsid w:val="00023BCF"/>
    <w:rsid w:val="00026B75"/>
    <w:rsid w:val="0003429B"/>
    <w:rsid w:val="00035AC6"/>
    <w:rsid w:val="00036027"/>
    <w:rsid w:val="00036CEF"/>
    <w:rsid w:val="000418AB"/>
    <w:rsid w:val="000438A6"/>
    <w:rsid w:val="00044A23"/>
    <w:rsid w:val="000457A8"/>
    <w:rsid w:val="00046A4D"/>
    <w:rsid w:val="000513FF"/>
    <w:rsid w:val="00051794"/>
    <w:rsid w:val="00053EBD"/>
    <w:rsid w:val="00054249"/>
    <w:rsid w:val="00060A55"/>
    <w:rsid w:val="00060AC4"/>
    <w:rsid w:val="00063921"/>
    <w:rsid w:val="00064031"/>
    <w:rsid w:val="0007167A"/>
    <w:rsid w:val="00086265"/>
    <w:rsid w:val="00095E0D"/>
    <w:rsid w:val="00096705"/>
    <w:rsid w:val="000A2274"/>
    <w:rsid w:val="000A5A5C"/>
    <w:rsid w:val="000B299A"/>
    <w:rsid w:val="000B4B90"/>
    <w:rsid w:val="000B5314"/>
    <w:rsid w:val="000C0564"/>
    <w:rsid w:val="000C28E5"/>
    <w:rsid w:val="000D1126"/>
    <w:rsid w:val="000D4066"/>
    <w:rsid w:val="000D4220"/>
    <w:rsid w:val="000D607E"/>
    <w:rsid w:val="000E2B5F"/>
    <w:rsid w:val="000E64D1"/>
    <w:rsid w:val="000E6697"/>
    <w:rsid w:val="000E7E88"/>
    <w:rsid w:val="000F04C2"/>
    <w:rsid w:val="000F191B"/>
    <w:rsid w:val="000F5EF8"/>
    <w:rsid w:val="001017F0"/>
    <w:rsid w:val="001065BD"/>
    <w:rsid w:val="00113834"/>
    <w:rsid w:val="001138EC"/>
    <w:rsid w:val="00117E25"/>
    <w:rsid w:val="001219A8"/>
    <w:rsid w:val="00122DD3"/>
    <w:rsid w:val="001231AB"/>
    <w:rsid w:val="00124D44"/>
    <w:rsid w:val="0012674B"/>
    <w:rsid w:val="00127D8E"/>
    <w:rsid w:val="0013645F"/>
    <w:rsid w:val="001447A5"/>
    <w:rsid w:val="00145FEB"/>
    <w:rsid w:val="001502FC"/>
    <w:rsid w:val="001548DC"/>
    <w:rsid w:val="00156986"/>
    <w:rsid w:val="001610E6"/>
    <w:rsid w:val="00161CE0"/>
    <w:rsid w:val="001674EA"/>
    <w:rsid w:val="00170BA3"/>
    <w:rsid w:val="00172FD2"/>
    <w:rsid w:val="0017759D"/>
    <w:rsid w:val="00177DB3"/>
    <w:rsid w:val="00180990"/>
    <w:rsid w:val="001817F0"/>
    <w:rsid w:val="00181CA9"/>
    <w:rsid w:val="001846A4"/>
    <w:rsid w:val="00184BA0"/>
    <w:rsid w:val="00186EDD"/>
    <w:rsid w:val="00190C4C"/>
    <w:rsid w:val="0019333A"/>
    <w:rsid w:val="001934F1"/>
    <w:rsid w:val="00193C34"/>
    <w:rsid w:val="00194F98"/>
    <w:rsid w:val="001B09C8"/>
    <w:rsid w:val="001B2ACC"/>
    <w:rsid w:val="001B4335"/>
    <w:rsid w:val="001B7278"/>
    <w:rsid w:val="001C02DA"/>
    <w:rsid w:val="001C0710"/>
    <w:rsid w:val="001C5F38"/>
    <w:rsid w:val="001C6D57"/>
    <w:rsid w:val="001D6322"/>
    <w:rsid w:val="001E1B89"/>
    <w:rsid w:val="001E3754"/>
    <w:rsid w:val="001E5121"/>
    <w:rsid w:val="001E68EA"/>
    <w:rsid w:val="001E6E6D"/>
    <w:rsid w:val="001F25D4"/>
    <w:rsid w:val="001F2724"/>
    <w:rsid w:val="001F76C2"/>
    <w:rsid w:val="002042DB"/>
    <w:rsid w:val="0020523B"/>
    <w:rsid w:val="0021287E"/>
    <w:rsid w:val="002129EE"/>
    <w:rsid w:val="002213C2"/>
    <w:rsid w:val="00221ED2"/>
    <w:rsid w:val="00225175"/>
    <w:rsid w:val="0022687F"/>
    <w:rsid w:val="00234D18"/>
    <w:rsid w:val="002357E3"/>
    <w:rsid w:val="00236D92"/>
    <w:rsid w:val="00240793"/>
    <w:rsid w:val="00244D67"/>
    <w:rsid w:val="002467D5"/>
    <w:rsid w:val="00247A97"/>
    <w:rsid w:val="00253982"/>
    <w:rsid w:val="002570D8"/>
    <w:rsid w:val="002611F8"/>
    <w:rsid w:val="002658B8"/>
    <w:rsid w:val="00267ADD"/>
    <w:rsid w:val="002732B7"/>
    <w:rsid w:val="00273E09"/>
    <w:rsid w:val="0027485A"/>
    <w:rsid w:val="00280749"/>
    <w:rsid w:val="00282176"/>
    <w:rsid w:val="00285109"/>
    <w:rsid w:val="002853A1"/>
    <w:rsid w:val="002863B9"/>
    <w:rsid w:val="002904E2"/>
    <w:rsid w:val="00290ADC"/>
    <w:rsid w:val="00290C8C"/>
    <w:rsid w:val="0029538C"/>
    <w:rsid w:val="0029595C"/>
    <w:rsid w:val="002A3AB9"/>
    <w:rsid w:val="002A3AC4"/>
    <w:rsid w:val="002A3AFF"/>
    <w:rsid w:val="002A615B"/>
    <w:rsid w:val="002B21EB"/>
    <w:rsid w:val="002B283D"/>
    <w:rsid w:val="002C0186"/>
    <w:rsid w:val="002C21B8"/>
    <w:rsid w:val="002C5BA9"/>
    <w:rsid w:val="002D0182"/>
    <w:rsid w:val="002D3568"/>
    <w:rsid w:val="002D4702"/>
    <w:rsid w:val="002E039C"/>
    <w:rsid w:val="002E1176"/>
    <w:rsid w:val="002E4A3A"/>
    <w:rsid w:val="002E5748"/>
    <w:rsid w:val="002E6111"/>
    <w:rsid w:val="002E7D79"/>
    <w:rsid w:val="002F2321"/>
    <w:rsid w:val="002F3679"/>
    <w:rsid w:val="002F7A8E"/>
    <w:rsid w:val="002F7FE5"/>
    <w:rsid w:val="00310377"/>
    <w:rsid w:val="003104D6"/>
    <w:rsid w:val="00314A3B"/>
    <w:rsid w:val="00321BB5"/>
    <w:rsid w:val="00322B74"/>
    <w:rsid w:val="00334C67"/>
    <w:rsid w:val="00335199"/>
    <w:rsid w:val="0033707E"/>
    <w:rsid w:val="003448D2"/>
    <w:rsid w:val="003475E4"/>
    <w:rsid w:val="00350D97"/>
    <w:rsid w:val="00351285"/>
    <w:rsid w:val="003548B5"/>
    <w:rsid w:val="00356F12"/>
    <w:rsid w:val="003575C0"/>
    <w:rsid w:val="003628F2"/>
    <w:rsid w:val="003654FF"/>
    <w:rsid w:val="0037138C"/>
    <w:rsid w:val="003724B3"/>
    <w:rsid w:val="0037579F"/>
    <w:rsid w:val="003805B0"/>
    <w:rsid w:val="00381156"/>
    <w:rsid w:val="003815AB"/>
    <w:rsid w:val="003857BF"/>
    <w:rsid w:val="00387F87"/>
    <w:rsid w:val="003923FA"/>
    <w:rsid w:val="00392462"/>
    <w:rsid w:val="00392706"/>
    <w:rsid w:val="00393175"/>
    <w:rsid w:val="00396EE3"/>
    <w:rsid w:val="003A2DD5"/>
    <w:rsid w:val="003A5996"/>
    <w:rsid w:val="003A7D18"/>
    <w:rsid w:val="003B4388"/>
    <w:rsid w:val="003B5F8F"/>
    <w:rsid w:val="003B6A2D"/>
    <w:rsid w:val="003B79F6"/>
    <w:rsid w:val="003B7E58"/>
    <w:rsid w:val="003C0232"/>
    <w:rsid w:val="003C0BC7"/>
    <w:rsid w:val="003C3E94"/>
    <w:rsid w:val="003C53AE"/>
    <w:rsid w:val="003D6A1B"/>
    <w:rsid w:val="003E0EF0"/>
    <w:rsid w:val="003E2FF5"/>
    <w:rsid w:val="003F0538"/>
    <w:rsid w:val="003F0ABC"/>
    <w:rsid w:val="003F1167"/>
    <w:rsid w:val="003F5A71"/>
    <w:rsid w:val="00401A7C"/>
    <w:rsid w:val="0040437C"/>
    <w:rsid w:val="00404CC3"/>
    <w:rsid w:val="00407D60"/>
    <w:rsid w:val="00423A4A"/>
    <w:rsid w:val="004245F6"/>
    <w:rsid w:val="0042627A"/>
    <w:rsid w:val="00430B32"/>
    <w:rsid w:val="004329B0"/>
    <w:rsid w:val="00435B4F"/>
    <w:rsid w:val="00436595"/>
    <w:rsid w:val="00436C1A"/>
    <w:rsid w:val="00440739"/>
    <w:rsid w:val="00443BB3"/>
    <w:rsid w:val="004500D6"/>
    <w:rsid w:val="00455DA4"/>
    <w:rsid w:val="00460D6B"/>
    <w:rsid w:val="00461BCC"/>
    <w:rsid w:val="00466143"/>
    <w:rsid w:val="0047464A"/>
    <w:rsid w:val="00481E49"/>
    <w:rsid w:val="004831A7"/>
    <w:rsid w:val="004833C5"/>
    <w:rsid w:val="004846AA"/>
    <w:rsid w:val="00487DE8"/>
    <w:rsid w:val="004902E0"/>
    <w:rsid w:val="00490DAB"/>
    <w:rsid w:val="0049156D"/>
    <w:rsid w:val="00497C2B"/>
    <w:rsid w:val="004A13C7"/>
    <w:rsid w:val="004A2FDA"/>
    <w:rsid w:val="004A56CD"/>
    <w:rsid w:val="004B0884"/>
    <w:rsid w:val="004B11A2"/>
    <w:rsid w:val="004B3C09"/>
    <w:rsid w:val="004C0545"/>
    <w:rsid w:val="004C1DF6"/>
    <w:rsid w:val="004C216D"/>
    <w:rsid w:val="004C5156"/>
    <w:rsid w:val="004C617C"/>
    <w:rsid w:val="004D0CBB"/>
    <w:rsid w:val="004D1C32"/>
    <w:rsid w:val="004D23DB"/>
    <w:rsid w:val="004D3F27"/>
    <w:rsid w:val="004D5650"/>
    <w:rsid w:val="004E3071"/>
    <w:rsid w:val="004E3AA1"/>
    <w:rsid w:val="004E421A"/>
    <w:rsid w:val="004F14FD"/>
    <w:rsid w:val="004F4F47"/>
    <w:rsid w:val="004F72A0"/>
    <w:rsid w:val="004F7A1B"/>
    <w:rsid w:val="00500596"/>
    <w:rsid w:val="00500AFE"/>
    <w:rsid w:val="00503329"/>
    <w:rsid w:val="005035BA"/>
    <w:rsid w:val="00503C03"/>
    <w:rsid w:val="00505651"/>
    <w:rsid w:val="00507D54"/>
    <w:rsid w:val="005105F4"/>
    <w:rsid w:val="0051201C"/>
    <w:rsid w:val="00512D60"/>
    <w:rsid w:val="00512FAC"/>
    <w:rsid w:val="0051506E"/>
    <w:rsid w:val="00517EED"/>
    <w:rsid w:val="00521E94"/>
    <w:rsid w:val="0052499E"/>
    <w:rsid w:val="00530BE0"/>
    <w:rsid w:val="00531053"/>
    <w:rsid w:val="005317E6"/>
    <w:rsid w:val="00534A1E"/>
    <w:rsid w:val="0053505B"/>
    <w:rsid w:val="0054053A"/>
    <w:rsid w:val="00546555"/>
    <w:rsid w:val="005519FA"/>
    <w:rsid w:val="0055311E"/>
    <w:rsid w:val="00554B41"/>
    <w:rsid w:val="00554F93"/>
    <w:rsid w:val="00560784"/>
    <w:rsid w:val="00562D72"/>
    <w:rsid w:val="005632C0"/>
    <w:rsid w:val="005670D9"/>
    <w:rsid w:val="00571F1D"/>
    <w:rsid w:val="00576BE6"/>
    <w:rsid w:val="00583B13"/>
    <w:rsid w:val="00587AAC"/>
    <w:rsid w:val="005929A3"/>
    <w:rsid w:val="00594A9F"/>
    <w:rsid w:val="00595F71"/>
    <w:rsid w:val="005966E3"/>
    <w:rsid w:val="005A1183"/>
    <w:rsid w:val="005A2C77"/>
    <w:rsid w:val="005A473E"/>
    <w:rsid w:val="005B116A"/>
    <w:rsid w:val="005B2655"/>
    <w:rsid w:val="005B360F"/>
    <w:rsid w:val="005B3917"/>
    <w:rsid w:val="005B4DC0"/>
    <w:rsid w:val="005B6474"/>
    <w:rsid w:val="005C3170"/>
    <w:rsid w:val="005C42E1"/>
    <w:rsid w:val="005C7C6C"/>
    <w:rsid w:val="005D0695"/>
    <w:rsid w:val="005D69D0"/>
    <w:rsid w:val="005E1097"/>
    <w:rsid w:val="005E44A1"/>
    <w:rsid w:val="005E49CE"/>
    <w:rsid w:val="005E4C31"/>
    <w:rsid w:val="005E579B"/>
    <w:rsid w:val="005F48E6"/>
    <w:rsid w:val="006127F7"/>
    <w:rsid w:val="006135F9"/>
    <w:rsid w:val="00616AA1"/>
    <w:rsid w:val="00624529"/>
    <w:rsid w:val="006258DE"/>
    <w:rsid w:val="00627536"/>
    <w:rsid w:val="00627B57"/>
    <w:rsid w:val="0063426E"/>
    <w:rsid w:val="006365BE"/>
    <w:rsid w:val="00642C51"/>
    <w:rsid w:val="00644CD1"/>
    <w:rsid w:val="006457DB"/>
    <w:rsid w:val="006530B1"/>
    <w:rsid w:val="006577DC"/>
    <w:rsid w:val="00665D44"/>
    <w:rsid w:val="0066692C"/>
    <w:rsid w:val="00666BC4"/>
    <w:rsid w:val="00667869"/>
    <w:rsid w:val="00667C49"/>
    <w:rsid w:val="006703E8"/>
    <w:rsid w:val="00671166"/>
    <w:rsid w:val="00674FB8"/>
    <w:rsid w:val="00675EB0"/>
    <w:rsid w:val="006761DC"/>
    <w:rsid w:val="006775D9"/>
    <w:rsid w:val="00681F7B"/>
    <w:rsid w:val="00686696"/>
    <w:rsid w:val="00691161"/>
    <w:rsid w:val="006A1E09"/>
    <w:rsid w:val="006A2994"/>
    <w:rsid w:val="006A6B38"/>
    <w:rsid w:val="006B0E86"/>
    <w:rsid w:val="006B19A8"/>
    <w:rsid w:val="006B1D18"/>
    <w:rsid w:val="006B2674"/>
    <w:rsid w:val="006B52E1"/>
    <w:rsid w:val="006C3CEA"/>
    <w:rsid w:val="006C68BF"/>
    <w:rsid w:val="006C6EDD"/>
    <w:rsid w:val="006D1DE8"/>
    <w:rsid w:val="006D1F76"/>
    <w:rsid w:val="006D21FC"/>
    <w:rsid w:val="006D5972"/>
    <w:rsid w:val="006D72DF"/>
    <w:rsid w:val="006E15C3"/>
    <w:rsid w:val="006E29E6"/>
    <w:rsid w:val="006E2F61"/>
    <w:rsid w:val="006E34AE"/>
    <w:rsid w:val="006E3629"/>
    <w:rsid w:val="006E40B4"/>
    <w:rsid w:val="006F1414"/>
    <w:rsid w:val="00700BD0"/>
    <w:rsid w:val="00701D57"/>
    <w:rsid w:val="00702448"/>
    <w:rsid w:val="00703BDE"/>
    <w:rsid w:val="0071268A"/>
    <w:rsid w:val="007164E8"/>
    <w:rsid w:val="00716661"/>
    <w:rsid w:val="0072178F"/>
    <w:rsid w:val="0073132C"/>
    <w:rsid w:val="00732ABD"/>
    <w:rsid w:val="00735000"/>
    <w:rsid w:val="00735555"/>
    <w:rsid w:val="0075202A"/>
    <w:rsid w:val="00752348"/>
    <w:rsid w:val="00756D7A"/>
    <w:rsid w:val="00765A40"/>
    <w:rsid w:val="00774C03"/>
    <w:rsid w:val="007754CD"/>
    <w:rsid w:val="007773F7"/>
    <w:rsid w:val="00784696"/>
    <w:rsid w:val="007854C9"/>
    <w:rsid w:val="007878C8"/>
    <w:rsid w:val="007904CF"/>
    <w:rsid w:val="00790B0C"/>
    <w:rsid w:val="0079385A"/>
    <w:rsid w:val="007974CD"/>
    <w:rsid w:val="00797922"/>
    <w:rsid w:val="007A042D"/>
    <w:rsid w:val="007A303F"/>
    <w:rsid w:val="007A3148"/>
    <w:rsid w:val="007A41F1"/>
    <w:rsid w:val="007A42D4"/>
    <w:rsid w:val="007A59BF"/>
    <w:rsid w:val="007A638D"/>
    <w:rsid w:val="007A764C"/>
    <w:rsid w:val="007B610E"/>
    <w:rsid w:val="007B618B"/>
    <w:rsid w:val="007B7067"/>
    <w:rsid w:val="007B7863"/>
    <w:rsid w:val="007B7B82"/>
    <w:rsid w:val="007C0121"/>
    <w:rsid w:val="007C1127"/>
    <w:rsid w:val="007C537D"/>
    <w:rsid w:val="007D1B3A"/>
    <w:rsid w:val="007D5EF2"/>
    <w:rsid w:val="007D7E00"/>
    <w:rsid w:val="007E1457"/>
    <w:rsid w:val="007E1C82"/>
    <w:rsid w:val="007E4C82"/>
    <w:rsid w:val="007F2AB0"/>
    <w:rsid w:val="007F2F69"/>
    <w:rsid w:val="007F3103"/>
    <w:rsid w:val="007F5AE5"/>
    <w:rsid w:val="007F67B7"/>
    <w:rsid w:val="00805E88"/>
    <w:rsid w:val="008077F6"/>
    <w:rsid w:val="00810B24"/>
    <w:rsid w:val="0081409F"/>
    <w:rsid w:val="008203BD"/>
    <w:rsid w:val="00822A28"/>
    <w:rsid w:val="008263C4"/>
    <w:rsid w:val="00826BB1"/>
    <w:rsid w:val="00827D98"/>
    <w:rsid w:val="00831422"/>
    <w:rsid w:val="00833749"/>
    <w:rsid w:val="00833774"/>
    <w:rsid w:val="008416E5"/>
    <w:rsid w:val="00850AE6"/>
    <w:rsid w:val="0086175E"/>
    <w:rsid w:val="00865F87"/>
    <w:rsid w:val="008677D3"/>
    <w:rsid w:val="00867A6A"/>
    <w:rsid w:val="008719F7"/>
    <w:rsid w:val="0087216C"/>
    <w:rsid w:val="0087380B"/>
    <w:rsid w:val="008832D4"/>
    <w:rsid w:val="0088585A"/>
    <w:rsid w:val="008930D6"/>
    <w:rsid w:val="00896205"/>
    <w:rsid w:val="00896C3E"/>
    <w:rsid w:val="008A08BB"/>
    <w:rsid w:val="008A1A57"/>
    <w:rsid w:val="008A3307"/>
    <w:rsid w:val="008B0230"/>
    <w:rsid w:val="008B202B"/>
    <w:rsid w:val="008B428B"/>
    <w:rsid w:val="008B4368"/>
    <w:rsid w:val="008B59EF"/>
    <w:rsid w:val="008B7BF7"/>
    <w:rsid w:val="008C2D65"/>
    <w:rsid w:val="008C6D1E"/>
    <w:rsid w:val="008D19D2"/>
    <w:rsid w:val="008D2B7C"/>
    <w:rsid w:val="008D7E0C"/>
    <w:rsid w:val="008E1C13"/>
    <w:rsid w:val="008F41C3"/>
    <w:rsid w:val="008F4A15"/>
    <w:rsid w:val="00905653"/>
    <w:rsid w:val="00905BBA"/>
    <w:rsid w:val="00906CBB"/>
    <w:rsid w:val="00907A3A"/>
    <w:rsid w:val="00913F0D"/>
    <w:rsid w:val="0092246E"/>
    <w:rsid w:val="0092357C"/>
    <w:rsid w:val="009243E6"/>
    <w:rsid w:val="0092682A"/>
    <w:rsid w:val="0092784C"/>
    <w:rsid w:val="00931AE1"/>
    <w:rsid w:val="009325AA"/>
    <w:rsid w:val="00932B41"/>
    <w:rsid w:val="00945318"/>
    <w:rsid w:val="0095182A"/>
    <w:rsid w:val="00951D7A"/>
    <w:rsid w:val="00961B76"/>
    <w:rsid w:val="0096322F"/>
    <w:rsid w:val="009637DB"/>
    <w:rsid w:val="009669A7"/>
    <w:rsid w:val="009669D1"/>
    <w:rsid w:val="00971BF5"/>
    <w:rsid w:val="0097462E"/>
    <w:rsid w:val="00977022"/>
    <w:rsid w:val="00984A23"/>
    <w:rsid w:val="009945D3"/>
    <w:rsid w:val="0099562D"/>
    <w:rsid w:val="009960AF"/>
    <w:rsid w:val="009960F4"/>
    <w:rsid w:val="0099645B"/>
    <w:rsid w:val="00997C07"/>
    <w:rsid w:val="009A0590"/>
    <w:rsid w:val="009A4DEC"/>
    <w:rsid w:val="009A6F03"/>
    <w:rsid w:val="009B028E"/>
    <w:rsid w:val="009B4AF6"/>
    <w:rsid w:val="009B4EB1"/>
    <w:rsid w:val="009B5CAC"/>
    <w:rsid w:val="009B6D44"/>
    <w:rsid w:val="009B7976"/>
    <w:rsid w:val="009C1E95"/>
    <w:rsid w:val="009C76B1"/>
    <w:rsid w:val="009D1101"/>
    <w:rsid w:val="009D37A5"/>
    <w:rsid w:val="009D587B"/>
    <w:rsid w:val="009D6158"/>
    <w:rsid w:val="009E1FE6"/>
    <w:rsid w:val="009E3661"/>
    <w:rsid w:val="009E3B9C"/>
    <w:rsid w:val="009E61A9"/>
    <w:rsid w:val="009F3DF7"/>
    <w:rsid w:val="009F62C2"/>
    <w:rsid w:val="009F6FE4"/>
    <w:rsid w:val="00A0055F"/>
    <w:rsid w:val="00A0399A"/>
    <w:rsid w:val="00A04F97"/>
    <w:rsid w:val="00A07614"/>
    <w:rsid w:val="00A078FE"/>
    <w:rsid w:val="00A12178"/>
    <w:rsid w:val="00A1764B"/>
    <w:rsid w:val="00A20D80"/>
    <w:rsid w:val="00A220F0"/>
    <w:rsid w:val="00A30DBB"/>
    <w:rsid w:val="00A33F08"/>
    <w:rsid w:val="00A36D93"/>
    <w:rsid w:val="00A37AA2"/>
    <w:rsid w:val="00A436BB"/>
    <w:rsid w:val="00A4481E"/>
    <w:rsid w:val="00A44D71"/>
    <w:rsid w:val="00A45001"/>
    <w:rsid w:val="00A45687"/>
    <w:rsid w:val="00A45801"/>
    <w:rsid w:val="00A4795F"/>
    <w:rsid w:val="00A504CE"/>
    <w:rsid w:val="00A50776"/>
    <w:rsid w:val="00A55070"/>
    <w:rsid w:val="00A6040D"/>
    <w:rsid w:val="00A62466"/>
    <w:rsid w:val="00A66BAC"/>
    <w:rsid w:val="00A70AD9"/>
    <w:rsid w:val="00A719F1"/>
    <w:rsid w:val="00A73D1D"/>
    <w:rsid w:val="00A75308"/>
    <w:rsid w:val="00A81F17"/>
    <w:rsid w:val="00A82BAA"/>
    <w:rsid w:val="00A82F47"/>
    <w:rsid w:val="00A913EB"/>
    <w:rsid w:val="00A94784"/>
    <w:rsid w:val="00A94B67"/>
    <w:rsid w:val="00A9630E"/>
    <w:rsid w:val="00AA036B"/>
    <w:rsid w:val="00AA1D9E"/>
    <w:rsid w:val="00AA5A1B"/>
    <w:rsid w:val="00AA79A5"/>
    <w:rsid w:val="00AB1957"/>
    <w:rsid w:val="00AB1A24"/>
    <w:rsid w:val="00AB2B87"/>
    <w:rsid w:val="00AB39CE"/>
    <w:rsid w:val="00AB470B"/>
    <w:rsid w:val="00AB4F0E"/>
    <w:rsid w:val="00AB6326"/>
    <w:rsid w:val="00AC00CF"/>
    <w:rsid w:val="00AC1B83"/>
    <w:rsid w:val="00AD096F"/>
    <w:rsid w:val="00AD3A4D"/>
    <w:rsid w:val="00AD56B1"/>
    <w:rsid w:val="00AD5F4B"/>
    <w:rsid w:val="00AD6734"/>
    <w:rsid w:val="00AD6B09"/>
    <w:rsid w:val="00AD7E4F"/>
    <w:rsid w:val="00AE050E"/>
    <w:rsid w:val="00AE3ADF"/>
    <w:rsid w:val="00AE59DC"/>
    <w:rsid w:val="00AF08E1"/>
    <w:rsid w:val="00AF25E9"/>
    <w:rsid w:val="00B0613D"/>
    <w:rsid w:val="00B067A5"/>
    <w:rsid w:val="00B11393"/>
    <w:rsid w:val="00B13665"/>
    <w:rsid w:val="00B176EE"/>
    <w:rsid w:val="00B207F8"/>
    <w:rsid w:val="00B229B7"/>
    <w:rsid w:val="00B23249"/>
    <w:rsid w:val="00B25ABE"/>
    <w:rsid w:val="00B275C0"/>
    <w:rsid w:val="00B31925"/>
    <w:rsid w:val="00B34760"/>
    <w:rsid w:val="00B35562"/>
    <w:rsid w:val="00B35C91"/>
    <w:rsid w:val="00B37123"/>
    <w:rsid w:val="00B62A06"/>
    <w:rsid w:val="00B6304C"/>
    <w:rsid w:val="00B67506"/>
    <w:rsid w:val="00B707E4"/>
    <w:rsid w:val="00B713E3"/>
    <w:rsid w:val="00B74E28"/>
    <w:rsid w:val="00B769F8"/>
    <w:rsid w:val="00B81B23"/>
    <w:rsid w:val="00B84988"/>
    <w:rsid w:val="00B92FBB"/>
    <w:rsid w:val="00B935F6"/>
    <w:rsid w:val="00B939F3"/>
    <w:rsid w:val="00B97112"/>
    <w:rsid w:val="00B9750B"/>
    <w:rsid w:val="00BA30E4"/>
    <w:rsid w:val="00BA3872"/>
    <w:rsid w:val="00BB173F"/>
    <w:rsid w:val="00BB4D3A"/>
    <w:rsid w:val="00BC0C51"/>
    <w:rsid w:val="00BC3869"/>
    <w:rsid w:val="00BC466C"/>
    <w:rsid w:val="00BD0D64"/>
    <w:rsid w:val="00BD29A6"/>
    <w:rsid w:val="00BD4F5B"/>
    <w:rsid w:val="00BE111C"/>
    <w:rsid w:val="00BE16C2"/>
    <w:rsid w:val="00BE1724"/>
    <w:rsid w:val="00BE18EF"/>
    <w:rsid w:val="00BE25FE"/>
    <w:rsid w:val="00BE3288"/>
    <w:rsid w:val="00BE37EA"/>
    <w:rsid w:val="00BE58A5"/>
    <w:rsid w:val="00BE68C4"/>
    <w:rsid w:val="00BF050E"/>
    <w:rsid w:val="00C05779"/>
    <w:rsid w:val="00C06D47"/>
    <w:rsid w:val="00C07B02"/>
    <w:rsid w:val="00C1001C"/>
    <w:rsid w:val="00C12390"/>
    <w:rsid w:val="00C13612"/>
    <w:rsid w:val="00C163E9"/>
    <w:rsid w:val="00C20B36"/>
    <w:rsid w:val="00C235E3"/>
    <w:rsid w:val="00C2391D"/>
    <w:rsid w:val="00C25D51"/>
    <w:rsid w:val="00C277B3"/>
    <w:rsid w:val="00C336A5"/>
    <w:rsid w:val="00C35330"/>
    <w:rsid w:val="00C430BB"/>
    <w:rsid w:val="00C44510"/>
    <w:rsid w:val="00C45A40"/>
    <w:rsid w:val="00C466AA"/>
    <w:rsid w:val="00C53455"/>
    <w:rsid w:val="00C5484F"/>
    <w:rsid w:val="00C57FD5"/>
    <w:rsid w:val="00C75CF2"/>
    <w:rsid w:val="00C76AF1"/>
    <w:rsid w:val="00C76BA6"/>
    <w:rsid w:val="00C7776D"/>
    <w:rsid w:val="00C80C92"/>
    <w:rsid w:val="00C83A6D"/>
    <w:rsid w:val="00C83C2C"/>
    <w:rsid w:val="00C85262"/>
    <w:rsid w:val="00C86119"/>
    <w:rsid w:val="00C92CBB"/>
    <w:rsid w:val="00CA0128"/>
    <w:rsid w:val="00CA1700"/>
    <w:rsid w:val="00CA31BB"/>
    <w:rsid w:val="00CA39CC"/>
    <w:rsid w:val="00CA63D3"/>
    <w:rsid w:val="00CA67EF"/>
    <w:rsid w:val="00CA799C"/>
    <w:rsid w:val="00CB223D"/>
    <w:rsid w:val="00CB3C6F"/>
    <w:rsid w:val="00CB72D7"/>
    <w:rsid w:val="00CC07CA"/>
    <w:rsid w:val="00CC5CAF"/>
    <w:rsid w:val="00CC5E7F"/>
    <w:rsid w:val="00CD3EC3"/>
    <w:rsid w:val="00CD57F1"/>
    <w:rsid w:val="00CD5EF0"/>
    <w:rsid w:val="00CD6A01"/>
    <w:rsid w:val="00CF06F1"/>
    <w:rsid w:val="00CF3AE1"/>
    <w:rsid w:val="00CF557D"/>
    <w:rsid w:val="00D02606"/>
    <w:rsid w:val="00D03685"/>
    <w:rsid w:val="00D049C9"/>
    <w:rsid w:val="00D04F89"/>
    <w:rsid w:val="00D078E2"/>
    <w:rsid w:val="00D10CBC"/>
    <w:rsid w:val="00D12760"/>
    <w:rsid w:val="00D14979"/>
    <w:rsid w:val="00D172D9"/>
    <w:rsid w:val="00D21559"/>
    <w:rsid w:val="00D23A71"/>
    <w:rsid w:val="00D251EC"/>
    <w:rsid w:val="00D25843"/>
    <w:rsid w:val="00D25D58"/>
    <w:rsid w:val="00D26B02"/>
    <w:rsid w:val="00D3109B"/>
    <w:rsid w:val="00D35301"/>
    <w:rsid w:val="00D40AFE"/>
    <w:rsid w:val="00D42234"/>
    <w:rsid w:val="00D46EB4"/>
    <w:rsid w:val="00D515A5"/>
    <w:rsid w:val="00D5340E"/>
    <w:rsid w:val="00D54081"/>
    <w:rsid w:val="00D5722F"/>
    <w:rsid w:val="00D603D5"/>
    <w:rsid w:val="00D65382"/>
    <w:rsid w:val="00D725E4"/>
    <w:rsid w:val="00D74E86"/>
    <w:rsid w:val="00D75701"/>
    <w:rsid w:val="00D77F93"/>
    <w:rsid w:val="00D80A93"/>
    <w:rsid w:val="00D80CAD"/>
    <w:rsid w:val="00D814FB"/>
    <w:rsid w:val="00D81981"/>
    <w:rsid w:val="00D8556E"/>
    <w:rsid w:val="00D85F0D"/>
    <w:rsid w:val="00D86C0D"/>
    <w:rsid w:val="00D90B44"/>
    <w:rsid w:val="00D91F26"/>
    <w:rsid w:val="00D93C5C"/>
    <w:rsid w:val="00D94C1D"/>
    <w:rsid w:val="00DB026F"/>
    <w:rsid w:val="00DB1196"/>
    <w:rsid w:val="00DB5791"/>
    <w:rsid w:val="00DC11F5"/>
    <w:rsid w:val="00DC169D"/>
    <w:rsid w:val="00DC224C"/>
    <w:rsid w:val="00DC4A08"/>
    <w:rsid w:val="00DC5C74"/>
    <w:rsid w:val="00DD49EE"/>
    <w:rsid w:val="00DD5CA0"/>
    <w:rsid w:val="00DD5D57"/>
    <w:rsid w:val="00DE092E"/>
    <w:rsid w:val="00DE1312"/>
    <w:rsid w:val="00DE212F"/>
    <w:rsid w:val="00E055C9"/>
    <w:rsid w:val="00E07973"/>
    <w:rsid w:val="00E1205B"/>
    <w:rsid w:val="00E12629"/>
    <w:rsid w:val="00E20803"/>
    <w:rsid w:val="00E256D6"/>
    <w:rsid w:val="00E267C5"/>
    <w:rsid w:val="00E32292"/>
    <w:rsid w:val="00E35409"/>
    <w:rsid w:val="00E35504"/>
    <w:rsid w:val="00E40C6E"/>
    <w:rsid w:val="00E41B1C"/>
    <w:rsid w:val="00E450B1"/>
    <w:rsid w:val="00E45AB2"/>
    <w:rsid w:val="00E460CF"/>
    <w:rsid w:val="00E46341"/>
    <w:rsid w:val="00E50CC8"/>
    <w:rsid w:val="00E54AD9"/>
    <w:rsid w:val="00E54CBF"/>
    <w:rsid w:val="00E54F01"/>
    <w:rsid w:val="00E55E3F"/>
    <w:rsid w:val="00E56CFD"/>
    <w:rsid w:val="00E622B2"/>
    <w:rsid w:val="00E632E4"/>
    <w:rsid w:val="00E63911"/>
    <w:rsid w:val="00E663A8"/>
    <w:rsid w:val="00E673BE"/>
    <w:rsid w:val="00E73388"/>
    <w:rsid w:val="00E74D4A"/>
    <w:rsid w:val="00E75B4F"/>
    <w:rsid w:val="00E9258E"/>
    <w:rsid w:val="00E936D9"/>
    <w:rsid w:val="00E94A24"/>
    <w:rsid w:val="00E96C17"/>
    <w:rsid w:val="00E96F2C"/>
    <w:rsid w:val="00E97537"/>
    <w:rsid w:val="00EA1E6A"/>
    <w:rsid w:val="00EA4851"/>
    <w:rsid w:val="00EB0A57"/>
    <w:rsid w:val="00EB3648"/>
    <w:rsid w:val="00EB58A4"/>
    <w:rsid w:val="00EC4538"/>
    <w:rsid w:val="00EC7A51"/>
    <w:rsid w:val="00EC7EC3"/>
    <w:rsid w:val="00EE0F88"/>
    <w:rsid w:val="00EE1D5D"/>
    <w:rsid w:val="00EE25C0"/>
    <w:rsid w:val="00EE5BEC"/>
    <w:rsid w:val="00EE775B"/>
    <w:rsid w:val="00EF08AA"/>
    <w:rsid w:val="00EF3C34"/>
    <w:rsid w:val="00EF68C2"/>
    <w:rsid w:val="00EF76C2"/>
    <w:rsid w:val="00F11D47"/>
    <w:rsid w:val="00F158AE"/>
    <w:rsid w:val="00F208DE"/>
    <w:rsid w:val="00F21B30"/>
    <w:rsid w:val="00F259A7"/>
    <w:rsid w:val="00F25DBA"/>
    <w:rsid w:val="00F302BD"/>
    <w:rsid w:val="00F3634E"/>
    <w:rsid w:val="00F370D4"/>
    <w:rsid w:val="00F3735C"/>
    <w:rsid w:val="00F4018E"/>
    <w:rsid w:val="00F40F30"/>
    <w:rsid w:val="00F4208B"/>
    <w:rsid w:val="00F5320C"/>
    <w:rsid w:val="00F56091"/>
    <w:rsid w:val="00F57B32"/>
    <w:rsid w:val="00F61F1C"/>
    <w:rsid w:val="00F65660"/>
    <w:rsid w:val="00F66FB6"/>
    <w:rsid w:val="00F70DAB"/>
    <w:rsid w:val="00F71537"/>
    <w:rsid w:val="00F7540D"/>
    <w:rsid w:val="00F75704"/>
    <w:rsid w:val="00F75FCF"/>
    <w:rsid w:val="00F77C11"/>
    <w:rsid w:val="00F853AB"/>
    <w:rsid w:val="00F91B04"/>
    <w:rsid w:val="00F9256A"/>
    <w:rsid w:val="00F9375A"/>
    <w:rsid w:val="00F94244"/>
    <w:rsid w:val="00FA32BC"/>
    <w:rsid w:val="00FA383E"/>
    <w:rsid w:val="00FA639A"/>
    <w:rsid w:val="00FB10F8"/>
    <w:rsid w:val="00FB1B29"/>
    <w:rsid w:val="00FB1CFC"/>
    <w:rsid w:val="00FB3ED6"/>
    <w:rsid w:val="00FB62B0"/>
    <w:rsid w:val="00FC3594"/>
    <w:rsid w:val="00FD5A5F"/>
    <w:rsid w:val="00FE1220"/>
    <w:rsid w:val="00FE1A65"/>
    <w:rsid w:val="00FE35E2"/>
    <w:rsid w:val="00FE440E"/>
    <w:rsid w:val="00FE497B"/>
    <w:rsid w:val="00FF362D"/>
    <w:rsid w:val="00FF51F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B48F"/>
  <w15:docId w15:val="{C5C09167-F6A7-40B3-94FC-3D5AA285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V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33"/>
  </w:style>
  <w:style w:type="paragraph" w:styleId="Ttulo1">
    <w:name w:val="heading 1"/>
    <w:basedOn w:val="Normal"/>
    <w:next w:val="Normal"/>
    <w:link w:val="Ttulo1Car"/>
    <w:uiPriority w:val="9"/>
    <w:qFormat/>
    <w:rsid w:val="000B5392"/>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uiPriority w:val="9"/>
    <w:unhideWhenUsed/>
    <w:qFormat/>
    <w:rsid w:val="00156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Prrafodelista">
    <w:name w:val="List Paragraph"/>
    <w:aliases w:val="Colorful List - Accent 11,Ha,List Paragraph1,lp1"/>
    <w:basedOn w:val="Normal"/>
    <w:link w:val="PrrafodelistaCar"/>
    <w:uiPriority w:val="34"/>
    <w:qFormat/>
    <w:rsid w:val="00685468"/>
    <w:pPr>
      <w:ind w:left="720"/>
      <w:contextualSpacing/>
    </w:pPr>
  </w:style>
  <w:style w:type="character" w:customStyle="1" w:styleId="Ttulo1Car">
    <w:name w:val="Título 1 Car"/>
    <w:basedOn w:val="Fuentedeprrafopredeter"/>
    <w:link w:val="Ttulo1"/>
    <w:uiPriority w:val="9"/>
    <w:rsid w:val="000B539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B5392"/>
  </w:style>
  <w:style w:type="character" w:styleId="Refdecomentario">
    <w:name w:val="annotation reference"/>
    <w:basedOn w:val="Fuentedeprrafopredeter"/>
    <w:uiPriority w:val="99"/>
    <w:semiHidden/>
    <w:unhideWhenUsed/>
    <w:rsid w:val="002B4814"/>
    <w:rPr>
      <w:sz w:val="16"/>
      <w:szCs w:val="16"/>
    </w:rPr>
  </w:style>
  <w:style w:type="paragraph" w:styleId="Textocomentario">
    <w:name w:val="annotation text"/>
    <w:basedOn w:val="Normal"/>
    <w:link w:val="TextocomentarioCar"/>
    <w:uiPriority w:val="99"/>
    <w:semiHidden/>
    <w:unhideWhenUsed/>
    <w:rsid w:val="002B4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481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2B4814"/>
    <w:rPr>
      <w:b/>
      <w:bCs/>
    </w:rPr>
  </w:style>
  <w:style w:type="character" w:customStyle="1" w:styleId="AsuntodelcomentarioCar">
    <w:name w:val="Asunto del comentario Car"/>
    <w:basedOn w:val="TextocomentarioCar"/>
    <w:link w:val="Asuntodelcomentario"/>
    <w:uiPriority w:val="99"/>
    <w:semiHidden/>
    <w:rsid w:val="002B4814"/>
    <w:rPr>
      <w:b/>
      <w:bCs/>
      <w:sz w:val="20"/>
      <w:szCs w:val="20"/>
      <w:lang w:val="es-CO"/>
    </w:rPr>
  </w:style>
  <w:style w:type="paragraph" w:styleId="Textodeglobo">
    <w:name w:val="Balloon Text"/>
    <w:basedOn w:val="Normal"/>
    <w:link w:val="TextodegloboCar"/>
    <w:uiPriority w:val="99"/>
    <w:semiHidden/>
    <w:unhideWhenUsed/>
    <w:rsid w:val="00696E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EF6"/>
    <w:rPr>
      <w:rFonts w:ascii="Segoe UI" w:hAnsi="Segoe UI" w:cs="Segoe UI"/>
      <w:sz w:val="18"/>
      <w:szCs w:val="18"/>
      <w:lang w:val="es-CO"/>
    </w:rPr>
  </w:style>
  <w:style w:type="paragraph" w:styleId="NormalWeb">
    <w:name w:val="Normal (Web)"/>
    <w:basedOn w:val="Normal"/>
    <w:uiPriority w:val="99"/>
    <w:unhideWhenUsed/>
    <w:rsid w:val="002E28E4"/>
    <w:pPr>
      <w:spacing w:before="100" w:beforeAutospacing="1" w:after="100" w:afterAutospacing="1" w:line="240" w:lineRule="auto"/>
    </w:pPr>
    <w:rPr>
      <w:rFonts w:ascii="Times New Roman" w:eastAsia="Times New Roman" w:hAnsi="Times New Roman" w:cs="Times New Roman"/>
      <w:sz w:val="24"/>
      <w:szCs w:val="24"/>
      <w:lang w:val="es-VE"/>
    </w:rPr>
  </w:style>
  <w:style w:type="character" w:styleId="Hipervnculo">
    <w:name w:val="Hyperlink"/>
    <w:basedOn w:val="Fuentedeprrafopredeter"/>
    <w:uiPriority w:val="99"/>
    <w:unhideWhenUsed/>
    <w:rsid w:val="00AE3B69"/>
    <w:rPr>
      <w:color w:val="0000FF"/>
      <w:u w:val="single"/>
    </w:rPr>
  </w:style>
  <w:style w:type="character" w:customStyle="1" w:styleId="Ttulo2Car">
    <w:name w:val="Título 2 Car"/>
    <w:basedOn w:val="Fuentedeprrafopredeter"/>
    <w:link w:val="Ttulo2"/>
    <w:uiPriority w:val="9"/>
    <w:rsid w:val="00156584"/>
    <w:rPr>
      <w:rFonts w:asciiTheme="majorHAnsi" w:eastAsiaTheme="majorEastAsia" w:hAnsiTheme="majorHAnsi" w:cstheme="majorBidi"/>
      <w:color w:val="2E74B5" w:themeColor="accent1" w:themeShade="BF"/>
      <w:sz w:val="26"/>
      <w:szCs w:val="26"/>
      <w:lang w:val="es-CO"/>
    </w:rPr>
  </w:style>
  <w:style w:type="paragraph" w:styleId="Encabezado">
    <w:name w:val="header"/>
    <w:basedOn w:val="Normal"/>
    <w:link w:val="EncabezadoCar"/>
    <w:uiPriority w:val="99"/>
    <w:unhideWhenUsed/>
    <w:rsid w:val="00DF45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45E8"/>
    <w:rPr>
      <w:lang w:val="es-CO"/>
    </w:rPr>
  </w:style>
  <w:style w:type="paragraph" w:styleId="Piedepgina">
    <w:name w:val="footer"/>
    <w:basedOn w:val="Normal"/>
    <w:link w:val="PiedepginaCar"/>
    <w:uiPriority w:val="99"/>
    <w:unhideWhenUsed/>
    <w:rsid w:val="00DF45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45E8"/>
    <w:rPr>
      <w:lang w:val="es-CO"/>
    </w:rPr>
  </w:style>
  <w:style w:type="paragraph" w:styleId="TtuloTDC">
    <w:name w:val="TOC Heading"/>
    <w:basedOn w:val="Ttulo1"/>
    <w:next w:val="Normal"/>
    <w:uiPriority w:val="39"/>
    <w:unhideWhenUsed/>
    <w:qFormat/>
    <w:rsid w:val="00DF45E8"/>
    <w:pPr>
      <w:outlineLvl w:val="9"/>
    </w:pPr>
    <w:rPr>
      <w:lang w:val="es-VE" w:eastAsia="es-VE"/>
    </w:rPr>
  </w:style>
  <w:style w:type="paragraph" w:styleId="TDC1">
    <w:name w:val="toc 1"/>
    <w:basedOn w:val="Normal"/>
    <w:next w:val="Normal"/>
    <w:autoRedefine/>
    <w:uiPriority w:val="39"/>
    <w:unhideWhenUsed/>
    <w:rsid w:val="00B10719"/>
    <w:pPr>
      <w:tabs>
        <w:tab w:val="right" w:leader="dot" w:pos="8828"/>
      </w:tabs>
      <w:spacing w:after="100"/>
      <w:jc w:val="both"/>
    </w:pPr>
    <w:rPr>
      <w:rFonts w:ascii="Times New Roman" w:hAnsi="Times New Roman" w:cs="Times New Roman"/>
      <w:noProof/>
      <w:sz w:val="24"/>
    </w:rPr>
  </w:style>
  <w:style w:type="paragraph" w:styleId="TDC2">
    <w:name w:val="toc 2"/>
    <w:basedOn w:val="Normal"/>
    <w:next w:val="Normal"/>
    <w:autoRedefine/>
    <w:uiPriority w:val="39"/>
    <w:unhideWhenUsed/>
    <w:rsid w:val="00DF45E8"/>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PrrafodelistaCar">
    <w:name w:val="Párrafo de lista Car"/>
    <w:aliases w:val="Colorful List - Accent 11 Car,Ha Car,List Paragraph1 Car,lp1 Car"/>
    <w:link w:val="Prrafodelista"/>
    <w:uiPriority w:val="34"/>
    <w:locked/>
    <w:rsid w:val="00350D97"/>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texto de nota al p"/>
    <w:basedOn w:val="Normal"/>
    <w:link w:val="TextonotapieCar"/>
    <w:uiPriority w:val="99"/>
    <w:semiHidden/>
    <w:unhideWhenUsed/>
    <w:qFormat/>
    <w:rsid w:val="00234D18"/>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p Car"/>
    <w:basedOn w:val="Fuentedeprrafopredeter"/>
    <w:link w:val="Textonotapie"/>
    <w:uiPriority w:val="99"/>
    <w:semiHidden/>
    <w:rsid w:val="00234D18"/>
    <w:rPr>
      <w:rFonts w:ascii="Times New Roman" w:eastAsia="Times New Roman" w:hAnsi="Times New Roman" w:cs="Times New Roman"/>
      <w:sz w:val="20"/>
      <w:szCs w:val="20"/>
      <w:lang w:eastAsia="es-ES_tradnl"/>
    </w:rPr>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Texto nota pie Car2,F,FC"/>
    <w:uiPriority w:val="99"/>
    <w:semiHidden/>
    <w:unhideWhenUsed/>
    <w:qFormat/>
    <w:rsid w:val="00234D18"/>
    <w:rPr>
      <w:vertAlign w:val="superscript"/>
    </w:rPr>
  </w:style>
  <w:style w:type="character" w:customStyle="1" w:styleId="Mencinsinresolver1">
    <w:name w:val="Mención sin resolver1"/>
    <w:basedOn w:val="Fuentedeprrafopredeter"/>
    <w:uiPriority w:val="99"/>
    <w:semiHidden/>
    <w:unhideWhenUsed/>
    <w:rsid w:val="00273E09"/>
    <w:rPr>
      <w:color w:val="605E5C"/>
      <w:shd w:val="clear" w:color="auto" w:fill="E1DFDD"/>
    </w:rPr>
  </w:style>
  <w:style w:type="character" w:styleId="Mencinsinresolver">
    <w:name w:val="Unresolved Mention"/>
    <w:basedOn w:val="Fuentedeprrafopredeter"/>
    <w:uiPriority w:val="99"/>
    <w:semiHidden/>
    <w:unhideWhenUsed/>
    <w:rsid w:val="00951D7A"/>
    <w:rPr>
      <w:color w:val="605E5C"/>
      <w:shd w:val="clear" w:color="auto" w:fill="E1DFDD"/>
    </w:rPr>
  </w:style>
  <w:style w:type="paragraph" w:styleId="TDC3">
    <w:name w:val="toc 3"/>
    <w:basedOn w:val="Normal"/>
    <w:next w:val="Normal"/>
    <w:autoRedefine/>
    <w:uiPriority w:val="39"/>
    <w:unhideWhenUsed/>
    <w:rsid w:val="00020E55"/>
    <w:pPr>
      <w:spacing w:after="100"/>
      <w:ind w:left="440"/>
    </w:pPr>
    <w:rPr>
      <w:rFonts w:asciiTheme="minorHAnsi" w:eastAsiaTheme="minorEastAsia" w:hAnsiTheme="minorHAnsi" w:cs="Times New Roman"/>
      <w:lang w:eastAsia="es-CO"/>
    </w:rPr>
  </w:style>
  <w:style w:type="character" w:customStyle="1" w:styleId="TtuloCar">
    <w:name w:val="Título Car"/>
    <w:basedOn w:val="Fuentedeprrafopredeter"/>
    <w:link w:val="Ttulo"/>
    <w:uiPriority w:val="10"/>
    <w:rsid w:val="00D12760"/>
    <w:rPr>
      <w:b/>
      <w:sz w:val="72"/>
      <w:szCs w:val="72"/>
    </w:rPr>
  </w:style>
  <w:style w:type="paragraph" w:styleId="Textoindependiente">
    <w:name w:val="Body Text"/>
    <w:basedOn w:val="Normal"/>
    <w:link w:val="TextoindependienteCar"/>
    <w:uiPriority w:val="1"/>
    <w:qFormat/>
    <w:rsid w:val="00D12760"/>
    <w:pPr>
      <w:widowControl w:val="0"/>
      <w:autoSpaceDE w:val="0"/>
      <w:autoSpaceDN w:val="0"/>
      <w:spacing w:after="0" w:line="240" w:lineRule="auto"/>
    </w:pPr>
    <w:rPr>
      <w:rFonts w:ascii="Arial MT" w:eastAsia="Arial MT" w:hAnsi="Arial MT" w:cs="Arial MT"/>
      <w:sz w:val="24"/>
      <w:lang w:val="es-ES" w:eastAsia="en-US"/>
    </w:rPr>
  </w:style>
  <w:style w:type="character" w:customStyle="1" w:styleId="TextoindependienteCar">
    <w:name w:val="Texto independiente Car"/>
    <w:basedOn w:val="Fuentedeprrafopredeter"/>
    <w:link w:val="Textoindependiente"/>
    <w:uiPriority w:val="1"/>
    <w:rsid w:val="00D12760"/>
    <w:rPr>
      <w:rFonts w:ascii="Arial MT" w:eastAsia="Arial MT" w:hAnsi="Arial MT" w:cs="Arial MT"/>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485">
      <w:bodyDiv w:val="1"/>
      <w:marLeft w:val="0"/>
      <w:marRight w:val="0"/>
      <w:marTop w:val="0"/>
      <w:marBottom w:val="0"/>
      <w:divBdr>
        <w:top w:val="none" w:sz="0" w:space="0" w:color="auto"/>
        <w:left w:val="none" w:sz="0" w:space="0" w:color="auto"/>
        <w:bottom w:val="none" w:sz="0" w:space="0" w:color="auto"/>
        <w:right w:val="none" w:sz="0" w:space="0" w:color="auto"/>
      </w:divBdr>
    </w:div>
    <w:div w:id="41177613">
      <w:bodyDiv w:val="1"/>
      <w:marLeft w:val="0"/>
      <w:marRight w:val="0"/>
      <w:marTop w:val="0"/>
      <w:marBottom w:val="0"/>
      <w:divBdr>
        <w:top w:val="none" w:sz="0" w:space="0" w:color="auto"/>
        <w:left w:val="none" w:sz="0" w:space="0" w:color="auto"/>
        <w:bottom w:val="none" w:sz="0" w:space="0" w:color="auto"/>
        <w:right w:val="none" w:sz="0" w:space="0" w:color="auto"/>
      </w:divBdr>
    </w:div>
    <w:div w:id="54013737">
      <w:bodyDiv w:val="1"/>
      <w:marLeft w:val="0"/>
      <w:marRight w:val="0"/>
      <w:marTop w:val="0"/>
      <w:marBottom w:val="0"/>
      <w:divBdr>
        <w:top w:val="none" w:sz="0" w:space="0" w:color="auto"/>
        <w:left w:val="none" w:sz="0" w:space="0" w:color="auto"/>
        <w:bottom w:val="none" w:sz="0" w:space="0" w:color="auto"/>
        <w:right w:val="none" w:sz="0" w:space="0" w:color="auto"/>
      </w:divBdr>
    </w:div>
    <w:div w:id="56822920">
      <w:bodyDiv w:val="1"/>
      <w:marLeft w:val="0"/>
      <w:marRight w:val="0"/>
      <w:marTop w:val="0"/>
      <w:marBottom w:val="0"/>
      <w:divBdr>
        <w:top w:val="none" w:sz="0" w:space="0" w:color="auto"/>
        <w:left w:val="none" w:sz="0" w:space="0" w:color="auto"/>
        <w:bottom w:val="none" w:sz="0" w:space="0" w:color="auto"/>
        <w:right w:val="none" w:sz="0" w:space="0" w:color="auto"/>
      </w:divBdr>
    </w:div>
    <w:div w:id="61873687">
      <w:bodyDiv w:val="1"/>
      <w:marLeft w:val="0"/>
      <w:marRight w:val="0"/>
      <w:marTop w:val="0"/>
      <w:marBottom w:val="0"/>
      <w:divBdr>
        <w:top w:val="none" w:sz="0" w:space="0" w:color="auto"/>
        <w:left w:val="none" w:sz="0" w:space="0" w:color="auto"/>
        <w:bottom w:val="none" w:sz="0" w:space="0" w:color="auto"/>
        <w:right w:val="none" w:sz="0" w:space="0" w:color="auto"/>
      </w:divBdr>
    </w:div>
    <w:div w:id="71634359">
      <w:bodyDiv w:val="1"/>
      <w:marLeft w:val="0"/>
      <w:marRight w:val="0"/>
      <w:marTop w:val="0"/>
      <w:marBottom w:val="0"/>
      <w:divBdr>
        <w:top w:val="none" w:sz="0" w:space="0" w:color="auto"/>
        <w:left w:val="none" w:sz="0" w:space="0" w:color="auto"/>
        <w:bottom w:val="none" w:sz="0" w:space="0" w:color="auto"/>
        <w:right w:val="none" w:sz="0" w:space="0" w:color="auto"/>
      </w:divBdr>
    </w:div>
    <w:div w:id="77601863">
      <w:bodyDiv w:val="1"/>
      <w:marLeft w:val="0"/>
      <w:marRight w:val="0"/>
      <w:marTop w:val="0"/>
      <w:marBottom w:val="0"/>
      <w:divBdr>
        <w:top w:val="none" w:sz="0" w:space="0" w:color="auto"/>
        <w:left w:val="none" w:sz="0" w:space="0" w:color="auto"/>
        <w:bottom w:val="none" w:sz="0" w:space="0" w:color="auto"/>
        <w:right w:val="none" w:sz="0" w:space="0" w:color="auto"/>
      </w:divBdr>
    </w:div>
    <w:div w:id="99037518">
      <w:bodyDiv w:val="1"/>
      <w:marLeft w:val="0"/>
      <w:marRight w:val="0"/>
      <w:marTop w:val="0"/>
      <w:marBottom w:val="0"/>
      <w:divBdr>
        <w:top w:val="none" w:sz="0" w:space="0" w:color="auto"/>
        <w:left w:val="none" w:sz="0" w:space="0" w:color="auto"/>
        <w:bottom w:val="none" w:sz="0" w:space="0" w:color="auto"/>
        <w:right w:val="none" w:sz="0" w:space="0" w:color="auto"/>
      </w:divBdr>
    </w:div>
    <w:div w:id="104270214">
      <w:bodyDiv w:val="1"/>
      <w:marLeft w:val="0"/>
      <w:marRight w:val="0"/>
      <w:marTop w:val="0"/>
      <w:marBottom w:val="0"/>
      <w:divBdr>
        <w:top w:val="none" w:sz="0" w:space="0" w:color="auto"/>
        <w:left w:val="none" w:sz="0" w:space="0" w:color="auto"/>
        <w:bottom w:val="none" w:sz="0" w:space="0" w:color="auto"/>
        <w:right w:val="none" w:sz="0" w:space="0" w:color="auto"/>
      </w:divBdr>
    </w:div>
    <w:div w:id="128862625">
      <w:bodyDiv w:val="1"/>
      <w:marLeft w:val="0"/>
      <w:marRight w:val="0"/>
      <w:marTop w:val="0"/>
      <w:marBottom w:val="0"/>
      <w:divBdr>
        <w:top w:val="none" w:sz="0" w:space="0" w:color="auto"/>
        <w:left w:val="none" w:sz="0" w:space="0" w:color="auto"/>
        <w:bottom w:val="none" w:sz="0" w:space="0" w:color="auto"/>
        <w:right w:val="none" w:sz="0" w:space="0" w:color="auto"/>
      </w:divBdr>
    </w:div>
    <w:div w:id="154348156">
      <w:bodyDiv w:val="1"/>
      <w:marLeft w:val="0"/>
      <w:marRight w:val="0"/>
      <w:marTop w:val="0"/>
      <w:marBottom w:val="0"/>
      <w:divBdr>
        <w:top w:val="none" w:sz="0" w:space="0" w:color="auto"/>
        <w:left w:val="none" w:sz="0" w:space="0" w:color="auto"/>
        <w:bottom w:val="none" w:sz="0" w:space="0" w:color="auto"/>
        <w:right w:val="none" w:sz="0" w:space="0" w:color="auto"/>
      </w:divBdr>
    </w:div>
    <w:div w:id="164979675">
      <w:bodyDiv w:val="1"/>
      <w:marLeft w:val="0"/>
      <w:marRight w:val="0"/>
      <w:marTop w:val="0"/>
      <w:marBottom w:val="0"/>
      <w:divBdr>
        <w:top w:val="none" w:sz="0" w:space="0" w:color="auto"/>
        <w:left w:val="none" w:sz="0" w:space="0" w:color="auto"/>
        <w:bottom w:val="none" w:sz="0" w:space="0" w:color="auto"/>
        <w:right w:val="none" w:sz="0" w:space="0" w:color="auto"/>
      </w:divBdr>
    </w:div>
    <w:div w:id="168447386">
      <w:bodyDiv w:val="1"/>
      <w:marLeft w:val="0"/>
      <w:marRight w:val="0"/>
      <w:marTop w:val="0"/>
      <w:marBottom w:val="0"/>
      <w:divBdr>
        <w:top w:val="none" w:sz="0" w:space="0" w:color="auto"/>
        <w:left w:val="none" w:sz="0" w:space="0" w:color="auto"/>
        <w:bottom w:val="none" w:sz="0" w:space="0" w:color="auto"/>
        <w:right w:val="none" w:sz="0" w:space="0" w:color="auto"/>
      </w:divBdr>
    </w:div>
    <w:div w:id="170536884">
      <w:bodyDiv w:val="1"/>
      <w:marLeft w:val="0"/>
      <w:marRight w:val="0"/>
      <w:marTop w:val="0"/>
      <w:marBottom w:val="0"/>
      <w:divBdr>
        <w:top w:val="none" w:sz="0" w:space="0" w:color="auto"/>
        <w:left w:val="none" w:sz="0" w:space="0" w:color="auto"/>
        <w:bottom w:val="none" w:sz="0" w:space="0" w:color="auto"/>
        <w:right w:val="none" w:sz="0" w:space="0" w:color="auto"/>
      </w:divBdr>
    </w:div>
    <w:div w:id="175702798">
      <w:bodyDiv w:val="1"/>
      <w:marLeft w:val="0"/>
      <w:marRight w:val="0"/>
      <w:marTop w:val="0"/>
      <w:marBottom w:val="0"/>
      <w:divBdr>
        <w:top w:val="none" w:sz="0" w:space="0" w:color="auto"/>
        <w:left w:val="none" w:sz="0" w:space="0" w:color="auto"/>
        <w:bottom w:val="none" w:sz="0" w:space="0" w:color="auto"/>
        <w:right w:val="none" w:sz="0" w:space="0" w:color="auto"/>
      </w:divBdr>
    </w:div>
    <w:div w:id="181478407">
      <w:bodyDiv w:val="1"/>
      <w:marLeft w:val="0"/>
      <w:marRight w:val="0"/>
      <w:marTop w:val="0"/>
      <w:marBottom w:val="0"/>
      <w:divBdr>
        <w:top w:val="none" w:sz="0" w:space="0" w:color="auto"/>
        <w:left w:val="none" w:sz="0" w:space="0" w:color="auto"/>
        <w:bottom w:val="none" w:sz="0" w:space="0" w:color="auto"/>
        <w:right w:val="none" w:sz="0" w:space="0" w:color="auto"/>
      </w:divBdr>
    </w:div>
    <w:div w:id="220991863">
      <w:bodyDiv w:val="1"/>
      <w:marLeft w:val="0"/>
      <w:marRight w:val="0"/>
      <w:marTop w:val="0"/>
      <w:marBottom w:val="0"/>
      <w:divBdr>
        <w:top w:val="none" w:sz="0" w:space="0" w:color="auto"/>
        <w:left w:val="none" w:sz="0" w:space="0" w:color="auto"/>
        <w:bottom w:val="none" w:sz="0" w:space="0" w:color="auto"/>
        <w:right w:val="none" w:sz="0" w:space="0" w:color="auto"/>
      </w:divBdr>
    </w:div>
    <w:div w:id="254438815">
      <w:bodyDiv w:val="1"/>
      <w:marLeft w:val="0"/>
      <w:marRight w:val="0"/>
      <w:marTop w:val="0"/>
      <w:marBottom w:val="0"/>
      <w:divBdr>
        <w:top w:val="none" w:sz="0" w:space="0" w:color="auto"/>
        <w:left w:val="none" w:sz="0" w:space="0" w:color="auto"/>
        <w:bottom w:val="none" w:sz="0" w:space="0" w:color="auto"/>
        <w:right w:val="none" w:sz="0" w:space="0" w:color="auto"/>
      </w:divBdr>
    </w:div>
    <w:div w:id="255091614">
      <w:bodyDiv w:val="1"/>
      <w:marLeft w:val="0"/>
      <w:marRight w:val="0"/>
      <w:marTop w:val="0"/>
      <w:marBottom w:val="0"/>
      <w:divBdr>
        <w:top w:val="none" w:sz="0" w:space="0" w:color="auto"/>
        <w:left w:val="none" w:sz="0" w:space="0" w:color="auto"/>
        <w:bottom w:val="none" w:sz="0" w:space="0" w:color="auto"/>
        <w:right w:val="none" w:sz="0" w:space="0" w:color="auto"/>
      </w:divBdr>
    </w:div>
    <w:div w:id="265430322">
      <w:bodyDiv w:val="1"/>
      <w:marLeft w:val="0"/>
      <w:marRight w:val="0"/>
      <w:marTop w:val="0"/>
      <w:marBottom w:val="0"/>
      <w:divBdr>
        <w:top w:val="none" w:sz="0" w:space="0" w:color="auto"/>
        <w:left w:val="none" w:sz="0" w:space="0" w:color="auto"/>
        <w:bottom w:val="none" w:sz="0" w:space="0" w:color="auto"/>
        <w:right w:val="none" w:sz="0" w:space="0" w:color="auto"/>
      </w:divBdr>
    </w:div>
    <w:div w:id="296305158">
      <w:bodyDiv w:val="1"/>
      <w:marLeft w:val="0"/>
      <w:marRight w:val="0"/>
      <w:marTop w:val="0"/>
      <w:marBottom w:val="0"/>
      <w:divBdr>
        <w:top w:val="none" w:sz="0" w:space="0" w:color="auto"/>
        <w:left w:val="none" w:sz="0" w:space="0" w:color="auto"/>
        <w:bottom w:val="none" w:sz="0" w:space="0" w:color="auto"/>
        <w:right w:val="none" w:sz="0" w:space="0" w:color="auto"/>
      </w:divBdr>
    </w:div>
    <w:div w:id="306473062">
      <w:bodyDiv w:val="1"/>
      <w:marLeft w:val="0"/>
      <w:marRight w:val="0"/>
      <w:marTop w:val="0"/>
      <w:marBottom w:val="0"/>
      <w:divBdr>
        <w:top w:val="none" w:sz="0" w:space="0" w:color="auto"/>
        <w:left w:val="none" w:sz="0" w:space="0" w:color="auto"/>
        <w:bottom w:val="none" w:sz="0" w:space="0" w:color="auto"/>
        <w:right w:val="none" w:sz="0" w:space="0" w:color="auto"/>
      </w:divBdr>
    </w:div>
    <w:div w:id="318584990">
      <w:bodyDiv w:val="1"/>
      <w:marLeft w:val="0"/>
      <w:marRight w:val="0"/>
      <w:marTop w:val="0"/>
      <w:marBottom w:val="0"/>
      <w:divBdr>
        <w:top w:val="none" w:sz="0" w:space="0" w:color="auto"/>
        <w:left w:val="none" w:sz="0" w:space="0" w:color="auto"/>
        <w:bottom w:val="none" w:sz="0" w:space="0" w:color="auto"/>
        <w:right w:val="none" w:sz="0" w:space="0" w:color="auto"/>
      </w:divBdr>
    </w:div>
    <w:div w:id="329261483">
      <w:bodyDiv w:val="1"/>
      <w:marLeft w:val="0"/>
      <w:marRight w:val="0"/>
      <w:marTop w:val="0"/>
      <w:marBottom w:val="0"/>
      <w:divBdr>
        <w:top w:val="none" w:sz="0" w:space="0" w:color="auto"/>
        <w:left w:val="none" w:sz="0" w:space="0" w:color="auto"/>
        <w:bottom w:val="none" w:sz="0" w:space="0" w:color="auto"/>
        <w:right w:val="none" w:sz="0" w:space="0" w:color="auto"/>
      </w:divBdr>
    </w:div>
    <w:div w:id="336348861">
      <w:bodyDiv w:val="1"/>
      <w:marLeft w:val="0"/>
      <w:marRight w:val="0"/>
      <w:marTop w:val="0"/>
      <w:marBottom w:val="0"/>
      <w:divBdr>
        <w:top w:val="none" w:sz="0" w:space="0" w:color="auto"/>
        <w:left w:val="none" w:sz="0" w:space="0" w:color="auto"/>
        <w:bottom w:val="none" w:sz="0" w:space="0" w:color="auto"/>
        <w:right w:val="none" w:sz="0" w:space="0" w:color="auto"/>
      </w:divBdr>
    </w:div>
    <w:div w:id="348996607">
      <w:bodyDiv w:val="1"/>
      <w:marLeft w:val="0"/>
      <w:marRight w:val="0"/>
      <w:marTop w:val="0"/>
      <w:marBottom w:val="0"/>
      <w:divBdr>
        <w:top w:val="none" w:sz="0" w:space="0" w:color="auto"/>
        <w:left w:val="none" w:sz="0" w:space="0" w:color="auto"/>
        <w:bottom w:val="none" w:sz="0" w:space="0" w:color="auto"/>
        <w:right w:val="none" w:sz="0" w:space="0" w:color="auto"/>
      </w:divBdr>
    </w:div>
    <w:div w:id="391730958">
      <w:bodyDiv w:val="1"/>
      <w:marLeft w:val="0"/>
      <w:marRight w:val="0"/>
      <w:marTop w:val="0"/>
      <w:marBottom w:val="0"/>
      <w:divBdr>
        <w:top w:val="none" w:sz="0" w:space="0" w:color="auto"/>
        <w:left w:val="none" w:sz="0" w:space="0" w:color="auto"/>
        <w:bottom w:val="none" w:sz="0" w:space="0" w:color="auto"/>
        <w:right w:val="none" w:sz="0" w:space="0" w:color="auto"/>
      </w:divBdr>
    </w:div>
    <w:div w:id="392507189">
      <w:bodyDiv w:val="1"/>
      <w:marLeft w:val="0"/>
      <w:marRight w:val="0"/>
      <w:marTop w:val="0"/>
      <w:marBottom w:val="0"/>
      <w:divBdr>
        <w:top w:val="none" w:sz="0" w:space="0" w:color="auto"/>
        <w:left w:val="none" w:sz="0" w:space="0" w:color="auto"/>
        <w:bottom w:val="none" w:sz="0" w:space="0" w:color="auto"/>
        <w:right w:val="none" w:sz="0" w:space="0" w:color="auto"/>
      </w:divBdr>
    </w:div>
    <w:div w:id="409696680">
      <w:bodyDiv w:val="1"/>
      <w:marLeft w:val="0"/>
      <w:marRight w:val="0"/>
      <w:marTop w:val="0"/>
      <w:marBottom w:val="0"/>
      <w:divBdr>
        <w:top w:val="none" w:sz="0" w:space="0" w:color="auto"/>
        <w:left w:val="none" w:sz="0" w:space="0" w:color="auto"/>
        <w:bottom w:val="none" w:sz="0" w:space="0" w:color="auto"/>
        <w:right w:val="none" w:sz="0" w:space="0" w:color="auto"/>
      </w:divBdr>
    </w:div>
    <w:div w:id="461850909">
      <w:bodyDiv w:val="1"/>
      <w:marLeft w:val="0"/>
      <w:marRight w:val="0"/>
      <w:marTop w:val="0"/>
      <w:marBottom w:val="0"/>
      <w:divBdr>
        <w:top w:val="none" w:sz="0" w:space="0" w:color="auto"/>
        <w:left w:val="none" w:sz="0" w:space="0" w:color="auto"/>
        <w:bottom w:val="none" w:sz="0" w:space="0" w:color="auto"/>
        <w:right w:val="none" w:sz="0" w:space="0" w:color="auto"/>
      </w:divBdr>
    </w:div>
    <w:div w:id="466358125">
      <w:bodyDiv w:val="1"/>
      <w:marLeft w:val="0"/>
      <w:marRight w:val="0"/>
      <w:marTop w:val="0"/>
      <w:marBottom w:val="0"/>
      <w:divBdr>
        <w:top w:val="none" w:sz="0" w:space="0" w:color="auto"/>
        <w:left w:val="none" w:sz="0" w:space="0" w:color="auto"/>
        <w:bottom w:val="none" w:sz="0" w:space="0" w:color="auto"/>
        <w:right w:val="none" w:sz="0" w:space="0" w:color="auto"/>
      </w:divBdr>
    </w:div>
    <w:div w:id="476187556">
      <w:bodyDiv w:val="1"/>
      <w:marLeft w:val="0"/>
      <w:marRight w:val="0"/>
      <w:marTop w:val="0"/>
      <w:marBottom w:val="0"/>
      <w:divBdr>
        <w:top w:val="none" w:sz="0" w:space="0" w:color="auto"/>
        <w:left w:val="none" w:sz="0" w:space="0" w:color="auto"/>
        <w:bottom w:val="none" w:sz="0" w:space="0" w:color="auto"/>
        <w:right w:val="none" w:sz="0" w:space="0" w:color="auto"/>
      </w:divBdr>
    </w:div>
    <w:div w:id="477111041">
      <w:bodyDiv w:val="1"/>
      <w:marLeft w:val="0"/>
      <w:marRight w:val="0"/>
      <w:marTop w:val="0"/>
      <w:marBottom w:val="0"/>
      <w:divBdr>
        <w:top w:val="none" w:sz="0" w:space="0" w:color="auto"/>
        <w:left w:val="none" w:sz="0" w:space="0" w:color="auto"/>
        <w:bottom w:val="none" w:sz="0" w:space="0" w:color="auto"/>
        <w:right w:val="none" w:sz="0" w:space="0" w:color="auto"/>
      </w:divBdr>
    </w:div>
    <w:div w:id="478308504">
      <w:bodyDiv w:val="1"/>
      <w:marLeft w:val="0"/>
      <w:marRight w:val="0"/>
      <w:marTop w:val="0"/>
      <w:marBottom w:val="0"/>
      <w:divBdr>
        <w:top w:val="none" w:sz="0" w:space="0" w:color="auto"/>
        <w:left w:val="none" w:sz="0" w:space="0" w:color="auto"/>
        <w:bottom w:val="none" w:sz="0" w:space="0" w:color="auto"/>
        <w:right w:val="none" w:sz="0" w:space="0" w:color="auto"/>
      </w:divBdr>
    </w:div>
    <w:div w:id="492070532">
      <w:bodyDiv w:val="1"/>
      <w:marLeft w:val="0"/>
      <w:marRight w:val="0"/>
      <w:marTop w:val="0"/>
      <w:marBottom w:val="0"/>
      <w:divBdr>
        <w:top w:val="none" w:sz="0" w:space="0" w:color="auto"/>
        <w:left w:val="none" w:sz="0" w:space="0" w:color="auto"/>
        <w:bottom w:val="none" w:sz="0" w:space="0" w:color="auto"/>
        <w:right w:val="none" w:sz="0" w:space="0" w:color="auto"/>
      </w:divBdr>
    </w:div>
    <w:div w:id="540094356">
      <w:bodyDiv w:val="1"/>
      <w:marLeft w:val="0"/>
      <w:marRight w:val="0"/>
      <w:marTop w:val="0"/>
      <w:marBottom w:val="0"/>
      <w:divBdr>
        <w:top w:val="none" w:sz="0" w:space="0" w:color="auto"/>
        <w:left w:val="none" w:sz="0" w:space="0" w:color="auto"/>
        <w:bottom w:val="none" w:sz="0" w:space="0" w:color="auto"/>
        <w:right w:val="none" w:sz="0" w:space="0" w:color="auto"/>
      </w:divBdr>
    </w:div>
    <w:div w:id="562637487">
      <w:bodyDiv w:val="1"/>
      <w:marLeft w:val="0"/>
      <w:marRight w:val="0"/>
      <w:marTop w:val="0"/>
      <w:marBottom w:val="0"/>
      <w:divBdr>
        <w:top w:val="none" w:sz="0" w:space="0" w:color="auto"/>
        <w:left w:val="none" w:sz="0" w:space="0" w:color="auto"/>
        <w:bottom w:val="none" w:sz="0" w:space="0" w:color="auto"/>
        <w:right w:val="none" w:sz="0" w:space="0" w:color="auto"/>
      </w:divBdr>
    </w:div>
    <w:div w:id="566961727">
      <w:bodyDiv w:val="1"/>
      <w:marLeft w:val="0"/>
      <w:marRight w:val="0"/>
      <w:marTop w:val="0"/>
      <w:marBottom w:val="0"/>
      <w:divBdr>
        <w:top w:val="none" w:sz="0" w:space="0" w:color="auto"/>
        <w:left w:val="none" w:sz="0" w:space="0" w:color="auto"/>
        <w:bottom w:val="none" w:sz="0" w:space="0" w:color="auto"/>
        <w:right w:val="none" w:sz="0" w:space="0" w:color="auto"/>
      </w:divBdr>
    </w:div>
    <w:div w:id="567955412">
      <w:bodyDiv w:val="1"/>
      <w:marLeft w:val="0"/>
      <w:marRight w:val="0"/>
      <w:marTop w:val="0"/>
      <w:marBottom w:val="0"/>
      <w:divBdr>
        <w:top w:val="none" w:sz="0" w:space="0" w:color="auto"/>
        <w:left w:val="none" w:sz="0" w:space="0" w:color="auto"/>
        <w:bottom w:val="none" w:sz="0" w:space="0" w:color="auto"/>
        <w:right w:val="none" w:sz="0" w:space="0" w:color="auto"/>
      </w:divBdr>
    </w:div>
    <w:div w:id="600575769">
      <w:bodyDiv w:val="1"/>
      <w:marLeft w:val="0"/>
      <w:marRight w:val="0"/>
      <w:marTop w:val="0"/>
      <w:marBottom w:val="0"/>
      <w:divBdr>
        <w:top w:val="none" w:sz="0" w:space="0" w:color="auto"/>
        <w:left w:val="none" w:sz="0" w:space="0" w:color="auto"/>
        <w:bottom w:val="none" w:sz="0" w:space="0" w:color="auto"/>
        <w:right w:val="none" w:sz="0" w:space="0" w:color="auto"/>
      </w:divBdr>
    </w:div>
    <w:div w:id="606887441">
      <w:bodyDiv w:val="1"/>
      <w:marLeft w:val="0"/>
      <w:marRight w:val="0"/>
      <w:marTop w:val="0"/>
      <w:marBottom w:val="0"/>
      <w:divBdr>
        <w:top w:val="none" w:sz="0" w:space="0" w:color="auto"/>
        <w:left w:val="none" w:sz="0" w:space="0" w:color="auto"/>
        <w:bottom w:val="none" w:sz="0" w:space="0" w:color="auto"/>
        <w:right w:val="none" w:sz="0" w:space="0" w:color="auto"/>
      </w:divBdr>
    </w:div>
    <w:div w:id="609822466">
      <w:bodyDiv w:val="1"/>
      <w:marLeft w:val="0"/>
      <w:marRight w:val="0"/>
      <w:marTop w:val="0"/>
      <w:marBottom w:val="0"/>
      <w:divBdr>
        <w:top w:val="none" w:sz="0" w:space="0" w:color="auto"/>
        <w:left w:val="none" w:sz="0" w:space="0" w:color="auto"/>
        <w:bottom w:val="none" w:sz="0" w:space="0" w:color="auto"/>
        <w:right w:val="none" w:sz="0" w:space="0" w:color="auto"/>
      </w:divBdr>
    </w:div>
    <w:div w:id="618226839">
      <w:bodyDiv w:val="1"/>
      <w:marLeft w:val="0"/>
      <w:marRight w:val="0"/>
      <w:marTop w:val="0"/>
      <w:marBottom w:val="0"/>
      <w:divBdr>
        <w:top w:val="none" w:sz="0" w:space="0" w:color="auto"/>
        <w:left w:val="none" w:sz="0" w:space="0" w:color="auto"/>
        <w:bottom w:val="none" w:sz="0" w:space="0" w:color="auto"/>
        <w:right w:val="none" w:sz="0" w:space="0" w:color="auto"/>
      </w:divBdr>
    </w:div>
    <w:div w:id="629938910">
      <w:bodyDiv w:val="1"/>
      <w:marLeft w:val="0"/>
      <w:marRight w:val="0"/>
      <w:marTop w:val="0"/>
      <w:marBottom w:val="0"/>
      <w:divBdr>
        <w:top w:val="none" w:sz="0" w:space="0" w:color="auto"/>
        <w:left w:val="none" w:sz="0" w:space="0" w:color="auto"/>
        <w:bottom w:val="none" w:sz="0" w:space="0" w:color="auto"/>
        <w:right w:val="none" w:sz="0" w:space="0" w:color="auto"/>
      </w:divBdr>
    </w:div>
    <w:div w:id="649671190">
      <w:bodyDiv w:val="1"/>
      <w:marLeft w:val="0"/>
      <w:marRight w:val="0"/>
      <w:marTop w:val="0"/>
      <w:marBottom w:val="0"/>
      <w:divBdr>
        <w:top w:val="none" w:sz="0" w:space="0" w:color="auto"/>
        <w:left w:val="none" w:sz="0" w:space="0" w:color="auto"/>
        <w:bottom w:val="none" w:sz="0" w:space="0" w:color="auto"/>
        <w:right w:val="none" w:sz="0" w:space="0" w:color="auto"/>
      </w:divBdr>
    </w:div>
    <w:div w:id="659776775">
      <w:bodyDiv w:val="1"/>
      <w:marLeft w:val="0"/>
      <w:marRight w:val="0"/>
      <w:marTop w:val="0"/>
      <w:marBottom w:val="0"/>
      <w:divBdr>
        <w:top w:val="none" w:sz="0" w:space="0" w:color="auto"/>
        <w:left w:val="none" w:sz="0" w:space="0" w:color="auto"/>
        <w:bottom w:val="none" w:sz="0" w:space="0" w:color="auto"/>
        <w:right w:val="none" w:sz="0" w:space="0" w:color="auto"/>
      </w:divBdr>
    </w:div>
    <w:div w:id="659893192">
      <w:bodyDiv w:val="1"/>
      <w:marLeft w:val="0"/>
      <w:marRight w:val="0"/>
      <w:marTop w:val="0"/>
      <w:marBottom w:val="0"/>
      <w:divBdr>
        <w:top w:val="none" w:sz="0" w:space="0" w:color="auto"/>
        <w:left w:val="none" w:sz="0" w:space="0" w:color="auto"/>
        <w:bottom w:val="none" w:sz="0" w:space="0" w:color="auto"/>
        <w:right w:val="none" w:sz="0" w:space="0" w:color="auto"/>
      </w:divBdr>
    </w:div>
    <w:div w:id="663750289">
      <w:bodyDiv w:val="1"/>
      <w:marLeft w:val="0"/>
      <w:marRight w:val="0"/>
      <w:marTop w:val="0"/>
      <w:marBottom w:val="0"/>
      <w:divBdr>
        <w:top w:val="none" w:sz="0" w:space="0" w:color="auto"/>
        <w:left w:val="none" w:sz="0" w:space="0" w:color="auto"/>
        <w:bottom w:val="none" w:sz="0" w:space="0" w:color="auto"/>
        <w:right w:val="none" w:sz="0" w:space="0" w:color="auto"/>
      </w:divBdr>
    </w:div>
    <w:div w:id="706031014">
      <w:bodyDiv w:val="1"/>
      <w:marLeft w:val="0"/>
      <w:marRight w:val="0"/>
      <w:marTop w:val="0"/>
      <w:marBottom w:val="0"/>
      <w:divBdr>
        <w:top w:val="none" w:sz="0" w:space="0" w:color="auto"/>
        <w:left w:val="none" w:sz="0" w:space="0" w:color="auto"/>
        <w:bottom w:val="none" w:sz="0" w:space="0" w:color="auto"/>
        <w:right w:val="none" w:sz="0" w:space="0" w:color="auto"/>
      </w:divBdr>
    </w:div>
    <w:div w:id="743379502">
      <w:bodyDiv w:val="1"/>
      <w:marLeft w:val="0"/>
      <w:marRight w:val="0"/>
      <w:marTop w:val="0"/>
      <w:marBottom w:val="0"/>
      <w:divBdr>
        <w:top w:val="none" w:sz="0" w:space="0" w:color="auto"/>
        <w:left w:val="none" w:sz="0" w:space="0" w:color="auto"/>
        <w:bottom w:val="none" w:sz="0" w:space="0" w:color="auto"/>
        <w:right w:val="none" w:sz="0" w:space="0" w:color="auto"/>
      </w:divBdr>
    </w:div>
    <w:div w:id="760488862">
      <w:bodyDiv w:val="1"/>
      <w:marLeft w:val="0"/>
      <w:marRight w:val="0"/>
      <w:marTop w:val="0"/>
      <w:marBottom w:val="0"/>
      <w:divBdr>
        <w:top w:val="none" w:sz="0" w:space="0" w:color="auto"/>
        <w:left w:val="none" w:sz="0" w:space="0" w:color="auto"/>
        <w:bottom w:val="none" w:sz="0" w:space="0" w:color="auto"/>
        <w:right w:val="none" w:sz="0" w:space="0" w:color="auto"/>
      </w:divBdr>
    </w:div>
    <w:div w:id="788745630">
      <w:bodyDiv w:val="1"/>
      <w:marLeft w:val="0"/>
      <w:marRight w:val="0"/>
      <w:marTop w:val="0"/>
      <w:marBottom w:val="0"/>
      <w:divBdr>
        <w:top w:val="none" w:sz="0" w:space="0" w:color="auto"/>
        <w:left w:val="none" w:sz="0" w:space="0" w:color="auto"/>
        <w:bottom w:val="none" w:sz="0" w:space="0" w:color="auto"/>
        <w:right w:val="none" w:sz="0" w:space="0" w:color="auto"/>
      </w:divBdr>
    </w:div>
    <w:div w:id="793672370">
      <w:bodyDiv w:val="1"/>
      <w:marLeft w:val="0"/>
      <w:marRight w:val="0"/>
      <w:marTop w:val="0"/>
      <w:marBottom w:val="0"/>
      <w:divBdr>
        <w:top w:val="none" w:sz="0" w:space="0" w:color="auto"/>
        <w:left w:val="none" w:sz="0" w:space="0" w:color="auto"/>
        <w:bottom w:val="none" w:sz="0" w:space="0" w:color="auto"/>
        <w:right w:val="none" w:sz="0" w:space="0" w:color="auto"/>
      </w:divBdr>
    </w:div>
    <w:div w:id="795561932">
      <w:bodyDiv w:val="1"/>
      <w:marLeft w:val="0"/>
      <w:marRight w:val="0"/>
      <w:marTop w:val="0"/>
      <w:marBottom w:val="0"/>
      <w:divBdr>
        <w:top w:val="none" w:sz="0" w:space="0" w:color="auto"/>
        <w:left w:val="none" w:sz="0" w:space="0" w:color="auto"/>
        <w:bottom w:val="none" w:sz="0" w:space="0" w:color="auto"/>
        <w:right w:val="none" w:sz="0" w:space="0" w:color="auto"/>
      </w:divBdr>
    </w:div>
    <w:div w:id="841894152">
      <w:bodyDiv w:val="1"/>
      <w:marLeft w:val="0"/>
      <w:marRight w:val="0"/>
      <w:marTop w:val="0"/>
      <w:marBottom w:val="0"/>
      <w:divBdr>
        <w:top w:val="none" w:sz="0" w:space="0" w:color="auto"/>
        <w:left w:val="none" w:sz="0" w:space="0" w:color="auto"/>
        <w:bottom w:val="none" w:sz="0" w:space="0" w:color="auto"/>
        <w:right w:val="none" w:sz="0" w:space="0" w:color="auto"/>
      </w:divBdr>
    </w:div>
    <w:div w:id="852569242">
      <w:bodyDiv w:val="1"/>
      <w:marLeft w:val="0"/>
      <w:marRight w:val="0"/>
      <w:marTop w:val="0"/>
      <w:marBottom w:val="0"/>
      <w:divBdr>
        <w:top w:val="none" w:sz="0" w:space="0" w:color="auto"/>
        <w:left w:val="none" w:sz="0" w:space="0" w:color="auto"/>
        <w:bottom w:val="none" w:sz="0" w:space="0" w:color="auto"/>
        <w:right w:val="none" w:sz="0" w:space="0" w:color="auto"/>
      </w:divBdr>
    </w:div>
    <w:div w:id="863636731">
      <w:bodyDiv w:val="1"/>
      <w:marLeft w:val="0"/>
      <w:marRight w:val="0"/>
      <w:marTop w:val="0"/>
      <w:marBottom w:val="0"/>
      <w:divBdr>
        <w:top w:val="none" w:sz="0" w:space="0" w:color="auto"/>
        <w:left w:val="none" w:sz="0" w:space="0" w:color="auto"/>
        <w:bottom w:val="none" w:sz="0" w:space="0" w:color="auto"/>
        <w:right w:val="none" w:sz="0" w:space="0" w:color="auto"/>
      </w:divBdr>
    </w:div>
    <w:div w:id="887298046">
      <w:bodyDiv w:val="1"/>
      <w:marLeft w:val="0"/>
      <w:marRight w:val="0"/>
      <w:marTop w:val="0"/>
      <w:marBottom w:val="0"/>
      <w:divBdr>
        <w:top w:val="none" w:sz="0" w:space="0" w:color="auto"/>
        <w:left w:val="none" w:sz="0" w:space="0" w:color="auto"/>
        <w:bottom w:val="none" w:sz="0" w:space="0" w:color="auto"/>
        <w:right w:val="none" w:sz="0" w:space="0" w:color="auto"/>
      </w:divBdr>
    </w:div>
    <w:div w:id="897324986">
      <w:bodyDiv w:val="1"/>
      <w:marLeft w:val="0"/>
      <w:marRight w:val="0"/>
      <w:marTop w:val="0"/>
      <w:marBottom w:val="0"/>
      <w:divBdr>
        <w:top w:val="none" w:sz="0" w:space="0" w:color="auto"/>
        <w:left w:val="none" w:sz="0" w:space="0" w:color="auto"/>
        <w:bottom w:val="none" w:sz="0" w:space="0" w:color="auto"/>
        <w:right w:val="none" w:sz="0" w:space="0" w:color="auto"/>
      </w:divBdr>
    </w:div>
    <w:div w:id="924344858">
      <w:bodyDiv w:val="1"/>
      <w:marLeft w:val="0"/>
      <w:marRight w:val="0"/>
      <w:marTop w:val="0"/>
      <w:marBottom w:val="0"/>
      <w:divBdr>
        <w:top w:val="none" w:sz="0" w:space="0" w:color="auto"/>
        <w:left w:val="none" w:sz="0" w:space="0" w:color="auto"/>
        <w:bottom w:val="none" w:sz="0" w:space="0" w:color="auto"/>
        <w:right w:val="none" w:sz="0" w:space="0" w:color="auto"/>
      </w:divBdr>
    </w:div>
    <w:div w:id="925308243">
      <w:bodyDiv w:val="1"/>
      <w:marLeft w:val="0"/>
      <w:marRight w:val="0"/>
      <w:marTop w:val="0"/>
      <w:marBottom w:val="0"/>
      <w:divBdr>
        <w:top w:val="none" w:sz="0" w:space="0" w:color="auto"/>
        <w:left w:val="none" w:sz="0" w:space="0" w:color="auto"/>
        <w:bottom w:val="none" w:sz="0" w:space="0" w:color="auto"/>
        <w:right w:val="none" w:sz="0" w:space="0" w:color="auto"/>
      </w:divBdr>
    </w:div>
    <w:div w:id="929123125">
      <w:bodyDiv w:val="1"/>
      <w:marLeft w:val="0"/>
      <w:marRight w:val="0"/>
      <w:marTop w:val="0"/>
      <w:marBottom w:val="0"/>
      <w:divBdr>
        <w:top w:val="none" w:sz="0" w:space="0" w:color="auto"/>
        <w:left w:val="none" w:sz="0" w:space="0" w:color="auto"/>
        <w:bottom w:val="none" w:sz="0" w:space="0" w:color="auto"/>
        <w:right w:val="none" w:sz="0" w:space="0" w:color="auto"/>
      </w:divBdr>
    </w:div>
    <w:div w:id="962158057">
      <w:bodyDiv w:val="1"/>
      <w:marLeft w:val="0"/>
      <w:marRight w:val="0"/>
      <w:marTop w:val="0"/>
      <w:marBottom w:val="0"/>
      <w:divBdr>
        <w:top w:val="none" w:sz="0" w:space="0" w:color="auto"/>
        <w:left w:val="none" w:sz="0" w:space="0" w:color="auto"/>
        <w:bottom w:val="none" w:sz="0" w:space="0" w:color="auto"/>
        <w:right w:val="none" w:sz="0" w:space="0" w:color="auto"/>
      </w:divBdr>
    </w:div>
    <w:div w:id="964500842">
      <w:bodyDiv w:val="1"/>
      <w:marLeft w:val="0"/>
      <w:marRight w:val="0"/>
      <w:marTop w:val="0"/>
      <w:marBottom w:val="0"/>
      <w:divBdr>
        <w:top w:val="none" w:sz="0" w:space="0" w:color="auto"/>
        <w:left w:val="none" w:sz="0" w:space="0" w:color="auto"/>
        <w:bottom w:val="none" w:sz="0" w:space="0" w:color="auto"/>
        <w:right w:val="none" w:sz="0" w:space="0" w:color="auto"/>
      </w:divBdr>
    </w:div>
    <w:div w:id="978026161">
      <w:bodyDiv w:val="1"/>
      <w:marLeft w:val="0"/>
      <w:marRight w:val="0"/>
      <w:marTop w:val="0"/>
      <w:marBottom w:val="0"/>
      <w:divBdr>
        <w:top w:val="none" w:sz="0" w:space="0" w:color="auto"/>
        <w:left w:val="none" w:sz="0" w:space="0" w:color="auto"/>
        <w:bottom w:val="none" w:sz="0" w:space="0" w:color="auto"/>
        <w:right w:val="none" w:sz="0" w:space="0" w:color="auto"/>
      </w:divBdr>
    </w:div>
    <w:div w:id="986740103">
      <w:bodyDiv w:val="1"/>
      <w:marLeft w:val="0"/>
      <w:marRight w:val="0"/>
      <w:marTop w:val="0"/>
      <w:marBottom w:val="0"/>
      <w:divBdr>
        <w:top w:val="none" w:sz="0" w:space="0" w:color="auto"/>
        <w:left w:val="none" w:sz="0" w:space="0" w:color="auto"/>
        <w:bottom w:val="none" w:sz="0" w:space="0" w:color="auto"/>
        <w:right w:val="none" w:sz="0" w:space="0" w:color="auto"/>
      </w:divBdr>
    </w:div>
    <w:div w:id="1022439757">
      <w:bodyDiv w:val="1"/>
      <w:marLeft w:val="0"/>
      <w:marRight w:val="0"/>
      <w:marTop w:val="0"/>
      <w:marBottom w:val="0"/>
      <w:divBdr>
        <w:top w:val="none" w:sz="0" w:space="0" w:color="auto"/>
        <w:left w:val="none" w:sz="0" w:space="0" w:color="auto"/>
        <w:bottom w:val="none" w:sz="0" w:space="0" w:color="auto"/>
        <w:right w:val="none" w:sz="0" w:space="0" w:color="auto"/>
      </w:divBdr>
    </w:div>
    <w:div w:id="1039478597">
      <w:bodyDiv w:val="1"/>
      <w:marLeft w:val="0"/>
      <w:marRight w:val="0"/>
      <w:marTop w:val="0"/>
      <w:marBottom w:val="0"/>
      <w:divBdr>
        <w:top w:val="none" w:sz="0" w:space="0" w:color="auto"/>
        <w:left w:val="none" w:sz="0" w:space="0" w:color="auto"/>
        <w:bottom w:val="none" w:sz="0" w:space="0" w:color="auto"/>
        <w:right w:val="none" w:sz="0" w:space="0" w:color="auto"/>
      </w:divBdr>
    </w:div>
    <w:div w:id="1039820771">
      <w:bodyDiv w:val="1"/>
      <w:marLeft w:val="0"/>
      <w:marRight w:val="0"/>
      <w:marTop w:val="0"/>
      <w:marBottom w:val="0"/>
      <w:divBdr>
        <w:top w:val="none" w:sz="0" w:space="0" w:color="auto"/>
        <w:left w:val="none" w:sz="0" w:space="0" w:color="auto"/>
        <w:bottom w:val="none" w:sz="0" w:space="0" w:color="auto"/>
        <w:right w:val="none" w:sz="0" w:space="0" w:color="auto"/>
      </w:divBdr>
    </w:div>
    <w:div w:id="1051661215">
      <w:bodyDiv w:val="1"/>
      <w:marLeft w:val="0"/>
      <w:marRight w:val="0"/>
      <w:marTop w:val="0"/>
      <w:marBottom w:val="0"/>
      <w:divBdr>
        <w:top w:val="none" w:sz="0" w:space="0" w:color="auto"/>
        <w:left w:val="none" w:sz="0" w:space="0" w:color="auto"/>
        <w:bottom w:val="none" w:sz="0" w:space="0" w:color="auto"/>
        <w:right w:val="none" w:sz="0" w:space="0" w:color="auto"/>
      </w:divBdr>
    </w:div>
    <w:div w:id="1054353929">
      <w:bodyDiv w:val="1"/>
      <w:marLeft w:val="0"/>
      <w:marRight w:val="0"/>
      <w:marTop w:val="0"/>
      <w:marBottom w:val="0"/>
      <w:divBdr>
        <w:top w:val="none" w:sz="0" w:space="0" w:color="auto"/>
        <w:left w:val="none" w:sz="0" w:space="0" w:color="auto"/>
        <w:bottom w:val="none" w:sz="0" w:space="0" w:color="auto"/>
        <w:right w:val="none" w:sz="0" w:space="0" w:color="auto"/>
      </w:divBdr>
    </w:div>
    <w:div w:id="1058480749">
      <w:bodyDiv w:val="1"/>
      <w:marLeft w:val="0"/>
      <w:marRight w:val="0"/>
      <w:marTop w:val="0"/>
      <w:marBottom w:val="0"/>
      <w:divBdr>
        <w:top w:val="none" w:sz="0" w:space="0" w:color="auto"/>
        <w:left w:val="none" w:sz="0" w:space="0" w:color="auto"/>
        <w:bottom w:val="none" w:sz="0" w:space="0" w:color="auto"/>
        <w:right w:val="none" w:sz="0" w:space="0" w:color="auto"/>
      </w:divBdr>
    </w:div>
    <w:div w:id="1063022519">
      <w:bodyDiv w:val="1"/>
      <w:marLeft w:val="0"/>
      <w:marRight w:val="0"/>
      <w:marTop w:val="0"/>
      <w:marBottom w:val="0"/>
      <w:divBdr>
        <w:top w:val="none" w:sz="0" w:space="0" w:color="auto"/>
        <w:left w:val="none" w:sz="0" w:space="0" w:color="auto"/>
        <w:bottom w:val="none" w:sz="0" w:space="0" w:color="auto"/>
        <w:right w:val="none" w:sz="0" w:space="0" w:color="auto"/>
      </w:divBdr>
    </w:div>
    <w:div w:id="1093013351">
      <w:bodyDiv w:val="1"/>
      <w:marLeft w:val="0"/>
      <w:marRight w:val="0"/>
      <w:marTop w:val="0"/>
      <w:marBottom w:val="0"/>
      <w:divBdr>
        <w:top w:val="none" w:sz="0" w:space="0" w:color="auto"/>
        <w:left w:val="none" w:sz="0" w:space="0" w:color="auto"/>
        <w:bottom w:val="none" w:sz="0" w:space="0" w:color="auto"/>
        <w:right w:val="none" w:sz="0" w:space="0" w:color="auto"/>
      </w:divBdr>
    </w:div>
    <w:div w:id="1097826109">
      <w:bodyDiv w:val="1"/>
      <w:marLeft w:val="0"/>
      <w:marRight w:val="0"/>
      <w:marTop w:val="0"/>
      <w:marBottom w:val="0"/>
      <w:divBdr>
        <w:top w:val="none" w:sz="0" w:space="0" w:color="auto"/>
        <w:left w:val="none" w:sz="0" w:space="0" w:color="auto"/>
        <w:bottom w:val="none" w:sz="0" w:space="0" w:color="auto"/>
        <w:right w:val="none" w:sz="0" w:space="0" w:color="auto"/>
      </w:divBdr>
    </w:div>
    <w:div w:id="1132672202">
      <w:bodyDiv w:val="1"/>
      <w:marLeft w:val="0"/>
      <w:marRight w:val="0"/>
      <w:marTop w:val="0"/>
      <w:marBottom w:val="0"/>
      <w:divBdr>
        <w:top w:val="none" w:sz="0" w:space="0" w:color="auto"/>
        <w:left w:val="none" w:sz="0" w:space="0" w:color="auto"/>
        <w:bottom w:val="none" w:sz="0" w:space="0" w:color="auto"/>
        <w:right w:val="none" w:sz="0" w:space="0" w:color="auto"/>
      </w:divBdr>
    </w:div>
    <w:div w:id="1135105780">
      <w:bodyDiv w:val="1"/>
      <w:marLeft w:val="0"/>
      <w:marRight w:val="0"/>
      <w:marTop w:val="0"/>
      <w:marBottom w:val="0"/>
      <w:divBdr>
        <w:top w:val="none" w:sz="0" w:space="0" w:color="auto"/>
        <w:left w:val="none" w:sz="0" w:space="0" w:color="auto"/>
        <w:bottom w:val="none" w:sz="0" w:space="0" w:color="auto"/>
        <w:right w:val="none" w:sz="0" w:space="0" w:color="auto"/>
      </w:divBdr>
    </w:div>
    <w:div w:id="1147551476">
      <w:bodyDiv w:val="1"/>
      <w:marLeft w:val="0"/>
      <w:marRight w:val="0"/>
      <w:marTop w:val="0"/>
      <w:marBottom w:val="0"/>
      <w:divBdr>
        <w:top w:val="none" w:sz="0" w:space="0" w:color="auto"/>
        <w:left w:val="none" w:sz="0" w:space="0" w:color="auto"/>
        <w:bottom w:val="none" w:sz="0" w:space="0" w:color="auto"/>
        <w:right w:val="none" w:sz="0" w:space="0" w:color="auto"/>
      </w:divBdr>
    </w:div>
    <w:div w:id="1169950626">
      <w:bodyDiv w:val="1"/>
      <w:marLeft w:val="0"/>
      <w:marRight w:val="0"/>
      <w:marTop w:val="0"/>
      <w:marBottom w:val="0"/>
      <w:divBdr>
        <w:top w:val="none" w:sz="0" w:space="0" w:color="auto"/>
        <w:left w:val="none" w:sz="0" w:space="0" w:color="auto"/>
        <w:bottom w:val="none" w:sz="0" w:space="0" w:color="auto"/>
        <w:right w:val="none" w:sz="0" w:space="0" w:color="auto"/>
      </w:divBdr>
    </w:div>
    <w:div w:id="1173833496">
      <w:bodyDiv w:val="1"/>
      <w:marLeft w:val="0"/>
      <w:marRight w:val="0"/>
      <w:marTop w:val="0"/>
      <w:marBottom w:val="0"/>
      <w:divBdr>
        <w:top w:val="none" w:sz="0" w:space="0" w:color="auto"/>
        <w:left w:val="none" w:sz="0" w:space="0" w:color="auto"/>
        <w:bottom w:val="none" w:sz="0" w:space="0" w:color="auto"/>
        <w:right w:val="none" w:sz="0" w:space="0" w:color="auto"/>
      </w:divBdr>
    </w:div>
    <w:div w:id="1226725195">
      <w:bodyDiv w:val="1"/>
      <w:marLeft w:val="0"/>
      <w:marRight w:val="0"/>
      <w:marTop w:val="0"/>
      <w:marBottom w:val="0"/>
      <w:divBdr>
        <w:top w:val="none" w:sz="0" w:space="0" w:color="auto"/>
        <w:left w:val="none" w:sz="0" w:space="0" w:color="auto"/>
        <w:bottom w:val="none" w:sz="0" w:space="0" w:color="auto"/>
        <w:right w:val="none" w:sz="0" w:space="0" w:color="auto"/>
      </w:divBdr>
    </w:div>
    <w:div w:id="1234047052">
      <w:bodyDiv w:val="1"/>
      <w:marLeft w:val="0"/>
      <w:marRight w:val="0"/>
      <w:marTop w:val="0"/>
      <w:marBottom w:val="0"/>
      <w:divBdr>
        <w:top w:val="none" w:sz="0" w:space="0" w:color="auto"/>
        <w:left w:val="none" w:sz="0" w:space="0" w:color="auto"/>
        <w:bottom w:val="none" w:sz="0" w:space="0" w:color="auto"/>
        <w:right w:val="none" w:sz="0" w:space="0" w:color="auto"/>
      </w:divBdr>
    </w:div>
    <w:div w:id="1235432320">
      <w:bodyDiv w:val="1"/>
      <w:marLeft w:val="0"/>
      <w:marRight w:val="0"/>
      <w:marTop w:val="0"/>
      <w:marBottom w:val="0"/>
      <w:divBdr>
        <w:top w:val="none" w:sz="0" w:space="0" w:color="auto"/>
        <w:left w:val="none" w:sz="0" w:space="0" w:color="auto"/>
        <w:bottom w:val="none" w:sz="0" w:space="0" w:color="auto"/>
        <w:right w:val="none" w:sz="0" w:space="0" w:color="auto"/>
      </w:divBdr>
    </w:div>
    <w:div w:id="1235699969">
      <w:bodyDiv w:val="1"/>
      <w:marLeft w:val="0"/>
      <w:marRight w:val="0"/>
      <w:marTop w:val="0"/>
      <w:marBottom w:val="0"/>
      <w:divBdr>
        <w:top w:val="none" w:sz="0" w:space="0" w:color="auto"/>
        <w:left w:val="none" w:sz="0" w:space="0" w:color="auto"/>
        <w:bottom w:val="none" w:sz="0" w:space="0" w:color="auto"/>
        <w:right w:val="none" w:sz="0" w:space="0" w:color="auto"/>
      </w:divBdr>
    </w:div>
    <w:div w:id="1258443419">
      <w:bodyDiv w:val="1"/>
      <w:marLeft w:val="0"/>
      <w:marRight w:val="0"/>
      <w:marTop w:val="0"/>
      <w:marBottom w:val="0"/>
      <w:divBdr>
        <w:top w:val="none" w:sz="0" w:space="0" w:color="auto"/>
        <w:left w:val="none" w:sz="0" w:space="0" w:color="auto"/>
        <w:bottom w:val="none" w:sz="0" w:space="0" w:color="auto"/>
        <w:right w:val="none" w:sz="0" w:space="0" w:color="auto"/>
      </w:divBdr>
    </w:div>
    <w:div w:id="1264923258">
      <w:bodyDiv w:val="1"/>
      <w:marLeft w:val="0"/>
      <w:marRight w:val="0"/>
      <w:marTop w:val="0"/>
      <w:marBottom w:val="0"/>
      <w:divBdr>
        <w:top w:val="none" w:sz="0" w:space="0" w:color="auto"/>
        <w:left w:val="none" w:sz="0" w:space="0" w:color="auto"/>
        <w:bottom w:val="none" w:sz="0" w:space="0" w:color="auto"/>
        <w:right w:val="none" w:sz="0" w:space="0" w:color="auto"/>
      </w:divBdr>
    </w:div>
    <w:div w:id="1326205012">
      <w:bodyDiv w:val="1"/>
      <w:marLeft w:val="0"/>
      <w:marRight w:val="0"/>
      <w:marTop w:val="0"/>
      <w:marBottom w:val="0"/>
      <w:divBdr>
        <w:top w:val="none" w:sz="0" w:space="0" w:color="auto"/>
        <w:left w:val="none" w:sz="0" w:space="0" w:color="auto"/>
        <w:bottom w:val="none" w:sz="0" w:space="0" w:color="auto"/>
        <w:right w:val="none" w:sz="0" w:space="0" w:color="auto"/>
      </w:divBdr>
    </w:div>
    <w:div w:id="1328677247">
      <w:bodyDiv w:val="1"/>
      <w:marLeft w:val="0"/>
      <w:marRight w:val="0"/>
      <w:marTop w:val="0"/>
      <w:marBottom w:val="0"/>
      <w:divBdr>
        <w:top w:val="none" w:sz="0" w:space="0" w:color="auto"/>
        <w:left w:val="none" w:sz="0" w:space="0" w:color="auto"/>
        <w:bottom w:val="none" w:sz="0" w:space="0" w:color="auto"/>
        <w:right w:val="none" w:sz="0" w:space="0" w:color="auto"/>
      </w:divBdr>
    </w:div>
    <w:div w:id="1347098870">
      <w:bodyDiv w:val="1"/>
      <w:marLeft w:val="0"/>
      <w:marRight w:val="0"/>
      <w:marTop w:val="0"/>
      <w:marBottom w:val="0"/>
      <w:divBdr>
        <w:top w:val="none" w:sz="0" w:space="0" w:color="auto"/>
        <w:left w:val="none" w:sz="0" w:space="0" w:color="auto"/>
        <w:bottom w:val="none" w:sz="0" w:space="0" w:color="auto"/>
        <w:right w:val="none" w:sz="0" w:space="0" w:color="auto"/>
      </w:divBdr>
    </w:div>
    <w:div w:id="1347176279">
      <w:bodyDiv w:val="1"/>
      <w:marLeft w:val="0"/>
      <w:marRight w:val="0"/>
      <w:marTop w:val="0"/>
      <w:marBottom w:val="0"/>
      <w:divBdr>
        <w:top w:val="none" w:sz="0" w:space="0" w:color="auto"/>
        <w:left w:val="none" w:sz="0" w:space="0" w:color="auto"/>
        <w:bottom w:val="none" w:sz="0" w:space="0" w:color="auto"/>
        <w:right w:val="none" w:sz="0" w:space="0" w:color="auto"/>
      </w:divBdr>
    </w:div>
    <w:div w:id="1379085420">
      <w:bodyDiv w:val="1"/>
      <w:marLeft w:val="0"/>
      <w:marRight w:val="0"/>
      <w:marTop w:val="0"/>
      <w:marBottom w:val="0"/>
      <w:divBdr>
        <w:top w:val="none" w:sz="0" w:space="0" w:color="auto"/>
        <w:left w:val="none" w:sz="0" w:space="0" w:color="auto"/>
        <w:bottom w:val="none" w:sz="0" w:space="0" w:color="auto"/>
        <w:right w:val="none" w:sz="0" w:space="0" w:color="auto"/>
      </w:divBdr>
    </w:div>
    <w:div w:id="1379934465">
      <w:bodyDiv w:val="1"/>
      <w:marLeft w:val="0"/>
      <w:marRight w:val="0"/>
      <w:marTop w:val="0"/>
      <w:marBottom w:val="0"/>
      <w:divBdr>
        <w:top w:val="none" w:sz="0" w:space="0" w:color="auto"/>
        <w:left w:val="none" w:sz="0" w:space="0" w:color="auto"/>
        <w:bottom w:val="none" w:sz="0" w:space="0" w:color="auto"/>
        <w:right w:val="none" w:sz="0" w:space="0" w:color="auto"/>
      </w:divBdr>
    </w:div>
    <w:div w:id="1383213535">
      <w:bodyDiv w:val="1"/>
      <w:marLeft w:val="0"/>
      <w:marRight w:val="0"/>
      <w:marTop w:val="0"/>
      <w:marBottom w:val="0"/>
      <w:divBdr>
        <w:top w:val="none" w:sz="0" w:space="0" w:color="auto"/>
        <w:left w:val="none" w:sz="0" w:space="0" w:color="auto"/>
        <w:bottom w:val="none" w:sz="0" w:space="0" w:color="auto"/>
        <w:right w:val="none" w:sz="0" w:space="0" w:color="auto"/>
      </w:divBdr>
    </w:div>
    <w:div w:id="1421442025">
      <w:bodyDiv w:val="1"/>
      <w:marLeft w:val="0"/>
      <w:marRight w:val="0"/>
      <w:marTop w:val="0"/>
      <w:marBottom w:val="0"/>
      <w:divBdr>
        <w:top w:val="none" w:sz="0" w:space="0" w:color="auto"/>
        <w:left w:val="none" w:sz="0" w:space="0" w:color="auto"/>
        <w:bottom w:val="none" w:sz="0" w:space="0" w:color="auto"/>
        <w:right w:val="none" w:sz="0" w:space="0" w:color="auto"/>
      </w:divBdr>
    </w:div>
    <w:div w:id="1468277973">
      <w:bodyDiv w:val="1"/>
      <w:marLeft w:val="0"/>
      <w:marRight w:val="0"/>
      <w:marTop w:val="0"/>
      <w:marBottom w:val="0"/>
      <w:divBdr>
        <w:top w:val="none" w:sz="0" w:space="0" w:color="auto"/>
        <w:left w:val="none" w:sz="0" w:space="0" w:color="auto"/>
        <w:bottom w:val="none" w:sz="0" w:space="0" w:color="auto"/>
        <w:right w:val="none" w:sz="0" w:space="0" w:color="auto"/>
      </w:divBdr>
    </w:div>
    <w:div w:id="1470241583">
      <w:bodyDiv w:val="1"/>
      <w:marLeft w:val="0"/>
      <w:marRight w:val="0"/>
      <w:marTop w:val="0"/>
      <w:marBottom w:val="0"/>
      <w:divBdr>
        <w:top w:val="none" w:sz="0" w:space="0" w:color="auto"/>
        <w:left w:val="none" w:sz="0" w:space="0" w:color="auto"/>
        <w:bottom w:val="none" w:sz="0" w:space="0" w:color="auto"/>
        <w:right w:val="none" w:sz="0" w:space="0" w:color="auto"/>
      </w:divBdr>
    </w:div>
    <w:div w:id="1474255300">
      <w:bodyDiv w:val="1"/>
      <w:marLeft w:val="0"/>
      <w:marRight w:val="0"/>
      <w:marTop w:val="0"/>
      <w:marBottom w:val="0"/>
      <w:divBdr>
        <w:top w:val="none" w:sz="0" w:space="0" w:color="auto"/>
        <w:left w:val="none" w:sz="0" w:space="0" w:color="auto"/>
        <w:bottom w:val="none" w:sz="0" w:space="0" w:color="auto"/>
        <w:right w:val="none" w:sz="0" w:space="0" w:color="auto"/>
      </w:divBdr>
    </w:div>
    <w:div w:id="1490247138">
      <w:bodyDiv w:val="1"/>
      <w:marLeft w:val="0"/>
      <w:marRight w:val="0"/>
      <w:marTop w:val="0"/>
      <w:marBottom w:val="0"/>
      <w:divBdr>
        <w:top w:val="none" w:sz="0" w:space="0" w:color="auto"/>
        <w:left w:val="none" w:sz="0" w:space="0" w:color="auto"/>
        <w:bottom w:val="none" w:sz="0" w:space="0" w:color="auto"/>
        <w:right w:val="none" w:sz="0" w:space="0" w:color="auto"/>
      </w:divBdr>
    </w:div>
    <w:div w:id="1507095644">
      <w:bodyDiv w:val="1"/>
      <w:marLeft w:val="0"/>
      <w:marRight w:val="0"/>
      <w:marTop w:val="0"/>
      <w:marBottom w:val="0"/>
      <w:divBdr>
        <w:top w:val="none" w:sz="0" w:space="0" w:color="auto"/>
        <w:left w:val="none" w:sz="0" w:space="0" w:color="auto"/>
        <w:bottom w:val="none" w:sz="0" w:space="0" w:color="auto"/>
        <w:right w:val="none" w:sz="0" w:space="0" w:color="auto"/>
      </w:divBdr>
    </w:div>
    <w:div w:id="1508012651">
      <w:bodyDiv w:val="1"/>
      <w:marLeft w:val="0"/>
      <w:marRight w:val="0"/>
      <w:marTop w:val="0"/>
      <w:marBottom w:val="0"/>
      <w:divBdr>
        <w:top w:val="none" w:sz="0" w:space="0" w:color="auto"/>
        <w:left w:val="none" w:sz="0" w:space="0" w:color="auto"/>
        <w:bottom w:val="none" w:sz="0" w:space="0" w:color="auto"/>
        <w:right w:val="none" w:sz="0" w:space="0" w:color="auto"/>
      </w:divBdr>
    </w:div>
    <w:div w:id="1516455880">
      <w:bodyDiv w:val="1"/>
      <w:marLeft w:val="0"/>
      <w:marRight w:val="0"/>
      <w:marTop w:val="0"/>
      <w:marBottom w:val="0"/>
      <w:divBdr>
        <w:top w:val="none" w:sz="0" w:space="0" w:color="auto"/>
        <w:left w:val="none" w:sz="0" w:space="0" w:color="auto"/>
        <w:bottom w:val="none" w:sz="0" w:space="0" w:color="auto"/>
        <w:right w:val="none" w:sz="0" w:space="0" w:color="auto"/>
      </w:divBdr>
    </w:div>
    <w:div w:id="1520779050">
      <w:bodyDiv w:val="1"/>
      <w:marLeft w:val="0"/>
      <w:marRight w:val="0"/>
      <w:marTop w:val="0"/>
      <w:marBottom w:val="0"/>
      <w:divBdr>
        <w:top w:val="none" w:sz="0" w:space="0" w:color="auto"/>
        <w:left w:val="none" w:sz="0" w:space="0" w:color="auto"/>
        <w:bottom w:val="none" w:sz="0" w:space="0" w:color="auto"/>
        <w:right w:val="none" w:sz="0" w:space="0" w:color="auto"/>
      </w:divBdr>
    </w:div>
    <w:div w:id="1633291251">
      <w:bodyDiv w:val="1"/>
      <w:marLeft w:val="0"/>
      <w:marRight w:val="0"/>
      <w:marTop w:val="0"/>
      <w:marBottom w:val="0"/>
      <w:divBdr>
        <w:top w:val="none" w:sz="0" w:space="0" w:color="auto"/>
        <w:left w:val="none" w:sz="0" w:space="0" w:color="auto"/>
        <w:bottom w:val="none" w:sz="0" w:space="0" w:color="auto"/>
        <w:right w:val="none" w:sz="0" w:space="0" w:color="auto"/>
      </w:divBdr>
    </w:div>
    <w:div w:id="1642999544">
      <w:bodyDiv w:val="1"/>
      <w:marLeft w:val="0"/>
      <w:marRight w:val="0"/>
      <w:marTop w:val="0"/>
      <w:marBottom w:val="0"/>
      <w:divBdr>
        <w:top w:val="none" w:sz="0" w:space="0" w:color="auto"/>
        <w:left w:val="none" w:sz="0" w:space="0" w:color="auto"/>
        <w:bottom w:val="none" w:sz="0" w:space="0" w:color="auto"/>
        <w:right w:val="none" w:sz="0" w:space="0" w:color="auto"/>
      </w:divBdr>
    </w:div>
    <w:div w:id="1705785162">
      <w:bodyDiv w:val="1"/>
      <w:marLeft w:val="0"/>
      <w:marRight w:val="0"/>
      <w:marTop w:val="0"/>
      <w:marBottom w:val="0"/>
      <w:divBdr>
        <w:top w:val="none" w:sz="0" w:space="0" w:color="auto"/>
        <w:left w:val="none" w:sz="0" w:space="0" w:color="auto"/>
        <w:bottom w:val="none" w:sz="0" w:space="0" w:color="auto"/>
        <w:right w:val="none" w:sz="0" w:space="0" w:color="auto"/>
      </w:divBdr>
    </w:div>
    <w:div w:id="1729108720">
      <w:bodyDiv w:val="1"/>
      <w:marLeft w:val="0"/>
      <w:marRight w:val="0"/>
      <w:marTop w:val="0"/>
      <w:marBottom w:val="0"/>
      <w:divBdr>
        <w:top w:val="none" w:sz="0" w:space="0" w:color="auto"/>
        <w:left w:val="none" w:sz="0" w:space="0" w:color="auto"/>
        <w:bottom w:val="none" w:sz="0" w:space="0" w:color="auto"/>
        <w:right w:val="none" w:sz="0" w:space="0" w:color="auto"/>
      </w:divBdr>
    </w:div>
    <w:div w:id="1773238576">
      <w:bodyDiv w:val="1"/>
      <w:marLeft w:val="0"/>
      <w:marRight w:val="0"/>
      <w:marTop w:val="0"/>
      <w:marBottom w:val="0"/>
      <w:divBdr>
        <w:top w:val="none" w:sz="0" w:space="0" w:color="auto"/>
        <w:left w:val="none" w:sz="0" w:space="0" w:color="auto"/>
        <w:bottom w:val="none" w:sz="0" w:space="0" w:color="auto"/>
        <w:right w:val="none" w:sz="0" w:space="0" w:color="auto"/>
      </w:divBdr>
    </w:div>
    <w:div w:id="1778212436">
      <w:bodyDiv w:val="1"/>
      <w:marLeft w:val="0"/>
      <w:marRight w:val="0"/>
      <w:marTop w:val="0"/>
      <w:marBottom w:val="0"/>
      <w:divBdr>
        <w:top w:val="none" w:sz="0" w:space="0" w:color="auto"/>
        <w:left w:val="none" w:sz="0" w:space="0" w:color="auto"/>
        <w:bottom w:val="none" w:sz="0" w:space="0" w:color="auto"/>
        <w:right w:val="none" w:sz="0" w:space="0" w:color="auto"/>
      </w:divBdr>
    </w:div>
    <w:div w:id="1785535549">
      <w:bodyDiv w:val="1"/>
      <w:marLeft w:val="0"/>
      <w:marRight w:val="0"/>
      <w:marTop w:val="0"/>
      <w:marBottom w:val="0"/>
      <w:divBdr>
        <w:top w:val="none" w:sz="0" w:space="0" w:color="auto"/>
        <w:left w:val="none" w:sz="0" w:space="0" w:color="auto"/>
        <w:bottom w:val="none" w:sz="0" w:space="0" w:color="auto"/>
        <w:right w:val="none" w:sz="0" w:space="0" w:color="auto"/>
      </w:divBdr>
    </w:div>
    <w:div w:id="1801800492">
      <w:bodyDiv w:val="1"/>
      <w:marLeft w:val="0"/>
      <w:marRight w:val="0"/>
      <w:marTop w:val="0"/>
      <w:marBottom w:val="0"/>
      <w:divBdr>
        <w:top w:val="none" w:sz="0" w:space="0" w:color="auto"/>
        <w:left w:val="none" w:sz="0" w:space="0" w:color="auto"/>
        <w:bottom w:val="none" w:sz="0" w:space="0" w:color="auto"/>
        <w:right w:val="none" w:sz="0" w:space="0" w:color="auto"/>
      </w:divBdr>
    </w:div>
    <w:div w:id="1804958782">
      <w:bodyDiv w:val="1"/>
      <w:marLeft w:val="0"/>
      <w:marRight w:val="0"/>
      <w:marTop w:val="0"/>
      <w:marBottom w:val="0"/>
      <w:divBdr>
        <w:top w:val="none" w:sz="0" w:space="0" w:color="auto"/>
        <w:left w:val="none" w:sz="0" w:space="0" w:color="auto"/>
        <w:bottom w:val="none" w:sz="0" w:space="0" w:color="auto"/>
        <w:right w:val="none" w:sz="0" w:space="0" w:color="auto"/>
      </w:divBdr>
    </w:div>
    <w:div w:id="1811558404">
      <w:bodyDiv w:val="1"/>
      <w:marLeft w:val="0"/>
      <w:marRight w:val="0"/>
      <w:marTop w:val="0"/>
      <w:marBottom w:val="0"/>
      <w:divBdr>
        <w:top w:val="none" w:sz="0" w:space="0" w:color="auto"/>
        <w:left w:val="none" w:sz="0" w:space="0" w:color="auto"/>
        <w:bottom w:val="none" w:sz="0" w:space="0" w:color="auto"/>
        <w:right w:val="none" w:sz="0" w:space="0" w:color="auto"/>
      </w:divBdr>
    </w:div>
    <w:div w:id="1814711439">
      <w:bodyDiv w:val="1"/>
      <w:marLeft w:val="0"/>
      <w:marRight w:val="0"/>
      <w:marTop w:val="0"/>
      <w:marBottom w:val="0"/>
      <w:divBdr>
        <w:top w:val="none" w:sz="0" w:space="0" w:color="auto"/>
        <w:left w:val="none" w:sz="0" w:space="0" w:color="auto"/>
        <w:bottom w:val="none" w:sz="0" w:space="0" w:color="auto"/>
        <w:right w:val="none" w:sz="0" w:space="0" w:color="auto"/>
      </w:divBdr>
    </w:div>
    <w:div w:id="1865944041">
      <w:bodyDiv w:val="1"/>
      <w:marLeft w:val="0"/>
      <w:marRight w:val="0"/>
      <w:marTop w:val="0"/>
      <w:marBottom w:val="0"/>
      <w:divBdr>
        <w:top w:val="none" w:sz="0" w:space="0" w:color="auto"/>
        <w:left w:val="none" w:sz="0" w:space="0" w:color="auto"/>
        <w:bottom w:val="none" w:sz="0" w:space="0" w:color="auto"/>
        <w:right w:val="none" w:sz="0" w:space="0" w:color="auto"/>
      </w:divBdr>
    </w:div>
    <w:div w:id="1872762883">
      <w:bodyDiv w:val="1"/>
      <w:marLeft w:val="0"/>
      <w:marRight w:val="0"/>
      <w:marTop w:val="0"/>
      <w:marBottom w:val="0"/>
      <w:divBdr>
        <w:top w:val="none" w:sz="0" w:space="0" w:color="auto"/>
        <w:left w:val="none" w:sz="0" w:space="0" w:color="auto"/>
        <w:bottom w:val="none" w:sz="0" w:space="0" w:color="auto"/>
        <w:right w:val="none" w:sz="0" w:space="0" w:color="auto"/>
      </w:divBdr>
    </w:div>
    <w:div w:id="1889686889">
      <w:bodyDiv w:val="1"/>
      <w:marLeft w:val="0"/>
      <w:marRight w:val="0"/>
      <w:marTop w:val="0"/>
      <w:marBottom w:val="0"/>
      <w:divBdr>
        <w:top w:val="none" w:sz="0" w:space="0" w:color="auto"/>
        <w:left w:val="none" w:sz="0" w:space="0" w:color="auto"/>
        <w:bottom w:val="none" w:sz="0" w:space="0" w:color="auto"/>
        <w:right w:val="none" w:sz="0" w:space="0" w:color="auto"/>
      </w:divBdr>
    </w:div>
    <w:div w:id="1895309407">
      <w:bodyDiv w:val="1"/>
      <w:marLeft w:val="0"/>
      <w:marRight w:val="0"/>
      <w:marTop w:val="0"/>
      <w:marBottom w:val="0"/>
      <w:divBdr>
        <w:top w:val="none" w:sz="0" w:space="0" w:color="auto"/>
        <w:left w:val="none" w:sz="0" w:space="0" w:color="auto"/>
        <w:bottom w:val="none" w:sz="0" w:space="0" w:color="auto"/>
        <w:right w:val="none" w:sz="0" w:space="0" w:color="auto"/>
      </w:divBdr>
    </w:div>
    <w:div w:id="1909729196">
      <w:bodyDiv w:val="1"/>
      <w:marLeft w:val="0"/>
      <w:marRight w:val="0"/>
      <w:marTop w:val="0"/>
      <w:marBottom w:val="0"/>
      <w:divBdr>
        <w:top w:val="none" w:sz="0" w:space="0" w:color="auto"/>
        <w:left w:val="none" w:sz="0" w:space="0" w:color="auto"/>
        <w:bottom w:val="none" w:sz="0" w:space="0" w:color="auto"/>
        <w:right w:val="none" w:sz="0" w:space="0" w:color="auto"/>
      </w:divBdr>
    </w:div>
    <w:div w:id="1929997757">
      <w:bodyDiv w:val="1"/>
      <w:marLeft w:val="0"/>
      <w:marRight w:val="0"/>
      <w:marTop w:val="0"/>
      <w:marBottom w:val="0"/>
      <w:divBdr>
        <w:top w:val="none" w:sz="0" w:space="0" w:color="auto"/>
        <w:left w:val="none" w:sz="0" w:space="0" w:color="auto"/>
        <w:bottom w:val="none" w:sz="0" w:space="0" w:color="auto"/>
        <w:right w:val="none" w:sz="0" w:space="0" w:color="auto"/>
      </w:divBdr>
    </w:div>
    <w:div w:id="1953630357">
      <w:bodyDiv w:val="1"/>
      <w:marLeft w:val="0"/>
      <w:marRight w:val="0"/>
      <w:marTop w:val="0"/>
      <w:marBottom w:val="0"/>
      <w:divBdr>
        <w:top w:val="none" w:sz="0" w:space="0" w:color="auto"/>
        <w:left w:val="none" w:sz="0" w:space="0" w:color="auto"/>
        <w:bottom w:val="none" w:sz="0" w:space="0" w:color="auto"/>
        <w:right w:val="none" w:sz="0" w:space="0" w:color="auto"/>
      </w:divBdr>
    </w:div>
    <w:div w:id="1964771796">
      <w:bodyDiv w:val="1"/>
      <w:marLeft w:val="0"/>
      <w:marRight w:val="0"/>
      <w:marTop w:val="0"/>
      <w:marBottom w:val="0"/>
      <w:divBdr>
        <w:top w:val="none" w:sz="0" w:space="0" w:color="auto"/>
        <w:left w:val="none" w:sz="0" w:space="0" w:color="auto"/>
        <w:bottom w:val="none" w:sz="0" w:space="0" w:color="auto"/>
        <w:right w:val="none" w:sz="0" w:space="0" w:color="auto"/>
      </w:divBdr>
    </w:div>
    <w:div w:id="2000183176">
      <w:bodyDiv w:val="1"/>
      <w:marLeft w:val="0"/>
      <w:marRight w:val="0"/>
      <w:marTop w:val="0"/>
      <w:marBottom w:val="0"/>
      <w:divBdr>
        <w:top w:val="none" w:sz="0" w:space="0" w:color="auto"/>
        <w:left w:val="none" w:sz="0" w:space="0" w:color="auto"/>
        <w:bottom w:val="none" w:sz="0" w:space="0" w:color="auto"/>
        <w:right w:val="none" w:sz="0" w:space="0" w:color="auto"/>
      </w:divBdr>
    </w:div>
    <w:div w:id="2012946418">
      <w:bodyDiv w:val="1"/>
      <w:marLeft w:val="0"/>
      <w:marRight w:val="0"/>
      <w:marTop w:val="0"/>
      <w:marBottom w:val="0"/>
      <w:divBdr>
        <w:top w:val="none" w:sz="0" w:space="0" w:color="auto"/>
        <w:left w:val="none" w:sz="0" w:space="0" w:color="auto"/>
        <w:bottom w:val="none" w:sz="0" w:space="0" w:color="auto"/>
        <w:right w:val="none" w:sz="0" w:space="0" w:color="auto"/>
      </w:divBdr>
    </w:div>
    <w:div w:id="2014062694">
      <w:bodyDiv w:val="1"/>
      <w:marLeft w:val="0"/>
      <w:marRight w:val="0"/>
      <w:marTop w:val="0"/>
      <w:marBottom w:val="0"/>
      <w:divBdr>
        <w:top w:val="none" w:sz="0" w:space="0" w:color="auto"/>
        <w:left w:val="none" w:sz="0" w:space="0" w:color="auto"/>
        <w:bottom w:val="none" w:sz="0" w:space="0" w:color="auto"/>
        <w:right w:val="none" w:sz="0" w:space="0" w:color="auto"/>
      </w:divBdr>
    </w:div>
    <w:div w:id="2019841775">
      <w:bodyDiv w:val="1"/>
      <w:marLeft w:val="0"/>
      <w:marRight w:val="0"/>
      <w:marTop w:val="0"/>
      <w:marBottom w:val="0"/>
      <w:divBdr>
        <w:top w:val="none" w:sz="0" w:space="0" w:color="auto"/>
        <w:left w:val="none" w:sz="0" w:space="0" w:color="auto"/>
        <w:bottom w:val="none" w:sz="0" w:space="0" w:color="auto"/>
        <w:right w:val="none" w:sz="0" w:space="0" w:color="auto"/>
      </w:divBdr>
    </w:div>
    <w:div w:id="2021926175">
      <w:bodyDiv w:val="1"/>
      <w:marLeft w:val="0"/>
      <w:marRight w:val="0"/>
      <w:marTop w:val="0"/>
      <w:marBottom w:val="0"/>
      <w:divBdr>
        <w:top w:val="none" w:sz="0" w:space="0" w:color="auto"/>
        <w:left w:val="none" w:sz="0" w:space="0" w:color="auto"/>
        <w:bottom w:val="none" w:sz="0" w:space="0" w:color="auto"/>
        <w:right w:val="none" w:sz="0" w:space="0" w:color="auto"/>
      </w:divBdr>
    </w:div>
    <w:div w:id="2028602163">
      <w:bodyDiv w:val="1"/>
      <w:marLeft w:val="0"/>
      <w:marRight w:val="0"/>
      <w:marTop w:val="0"/>
      <w:marBottom w:val="0"/>
      <w:divBdr>
        <w:top w:val="none" w:sz="0" w:space="0" w:color="auto"/>
        <w:left w:val="none" w:sz="0" w:space="0" w:color="auto"/>
        <w:bottom w:val="none" w:sz="0" w:space="0" w:color="auto"/>
        <w:right w:val="none" w:sz="0" w:space="0" w:color="auto"/>
      </w:divBdr>
    </w:div>
    <w:div w:id="2049525109">
      <w:bodyDiv w:val="1"/>
      <w:marLeft w:val="0"/>
      <w:marRight w:val="0"/>
      <w:marTop w:val="0"/>
      <w:marBottom w:val="0"/>
      <w:divBdr>
        <w:top w:val="none" w:sz="0" w:space="0" w:color="auto"/>
        <w:left w:val="none" w:sz="0" w:space="0" w:color="auto"/>
        <w:bottom w:val="none" w:sz="0" w:space="0" w:color="auto"/>
        <w:right w:val="none" w:sz="0" w:space="0" w:color="auto"/>
      </w:divBdr>
    </w:div>
    <w:div w:id="2055958580">
      <w:bodyDiv w:val="1"/>
      <w:marLeft w:val="0"/>
      <w:marRight w:val="0"/>
      <w:marTop w:val="0"/>
      <w:marBottom w:val="0"/>
      <w:divBdr>
        <w:top w:val="none" w:sz="0" w:space="0" w:color="auto"/>
        <w:left w:val="none" w:sz="0" w:space="0" w:color="auto"/>
        <w:bottom w:val="none" w:sz="0" w:space="0" w:color="auto"/>
        <w:right w:val="none" w:sz="0" w:space="0" w:color="auto"/>
      </w:divBdr>
    </w:div>
    <w:div w:id="2065986039">
      <w:bodyDiv w:val="1"/>
      <w:marLeft w:val="0"/>
      <w:marRight w:val="0"/>
      <w:marTop w:val="0"/>
      <w:marBottom w:val="0"/>
      <w:divBdr>
        <w:top w:val="none" w:sz="0" w:space="0" w:color="auto"/>
        <w:left w:val="none" w:sz="0" w:space="0" w:color="auto"/>
        <w:bottom w:val="none" w:sz="0" w:space="0" w:color="auto"/>
        <w:right w:val="none" w:sz="0" w:space="0" w:color="auto"/>
      </w:divBdr>
    </w:div>
    <w:div w:id="2070110605">
      <w:bodyDiv w:val="1"/>
      <w:marLeft w:val="0"/>
      <w:marRight w:val="0"/>
      <w:marTop w:val="0"/>
      <w:marBottom w:val="0"/>
      <w:divBdr>
        <w:top w:val="none" w:sz="0" w:space="0" w:color="auto"/>
        <w:left w:val="none" w:sz="0" w:space="0" w:color="auto"/>
        <w:bottom w:val="none" w:sz="0" w:space="0" w:color="auto"/>
        <w:right w:val="none" w:sz="0" w:space="0" w:color="auto"/>
      </w:divBdr>
    </w:div>
    <w:div w:id="2091611923">
      <w:bodyDiv w:val="1"/>
      <w:marLeft w:val="0"/>
      <w:marRight w:val="0"/>
      <w:marTop w:val="0"/>
      <w:marBottom w:val="0"/>
      <w:divBdr>
        <w:top w:val="none" w:sz="0" w:space="0" w:color="auto"/>
        <w:left w:val="none" w:sz="0" w:space="0" w:color="auto"/>
        <w:bottom w:val="none" w:sz="0" w:space="0" w:color="auto"/>
        <w:right w:val="none" w:sz="0" w:space="0" w:color="auto"/>
      </w:divBdr>
    </w:div>
    <w:div w:id="2096704007">
      <w:bodyDiv w:val="1"/>
      <w:marLeft w:val="0"/>
      <w:marRight w:val="0"/>
      <w:marTop w:val="0"/>
      <w:marBottom w:val="0"/>
      <w:divBdr>
        <w:top w:val="none" w:sz="0" w:space="0" w:color="auto"/>
        <w:left w:val="none" w:sz="0" w:space="0" w:color="auto"/>
        <w:bottom w:val="none" w:sz="0" w:space="0" w:color="auto"/>
        <w:right w:val="none" w:sz="0" w:space="0" w:color="auto"/>
      </w:divBdr>
    </w:div>
    <w:div w:id="2103798111">
      <w:bodyDiv w:val="1"/>
      <w:marLeft w:val="0"/>
      <w:marRight w:val="0"/>
      <w:marTop w:val="0"/>
      <w:marBottom w:val="0"/>
      <w:divBdr>
        <w:top w:val="none" w:sz="0" w:space="0" w:color="auto"/>
        <w:left w:val="none" w:sz="0" w:space="0" w:color="auto"/>
        <w:bottom w:val="none" w:sz="0" w:space="0" w:color="auto"/>
        <w:right w:val="none" w:sz="0" w:space="0" w:color="auto"/>
      </w:divBdr>
    </w:div>
    <w:div w:id="2115904451">
      <w:bodyDiv w:val="1"/>
      <w:marLeft w:val="0"/>
      <w:marRight w:val="0"/>
      <w:marTop w:val="0"/>
      <w:marBottom w:val="0"/>
      <w:divBdr>
        <w:top w:val="none" w:sz="0" w:space="0" w:color="auto"/>
        <w:left w:val="none" w:sz="0" w:space="0" w:color="auto"/>
        <w:bottom w:val="none" w:sz="0" w:space="0" w:color="auto"/>
        <w:right w:val="none" w:sz="0" w:space="0" w:color="auto"/>
      </w:divBdr>
    </w:div>
    <w:div w:id="2125732785">
      <w:bodyDiv w:val="1"/>
      <w:marLeft w:val="0"/>
      <w:marRight w:val="0"/>
      <w:marTop w:val="0"/>
      <w:marBottom w:val="0"/>
      <w:divBdr>
        <w:top w:val="none" w:sz="0" w:space="0" w:color="auto"/>
        <w:left w:val="none" w:sz="0" w:space="0" w:color="auto"/>
        <w:bottom w:val="none" w:sz="0" w:space="0" w:color="auto"/>
        <w:right w:val="none" w:sz="0" w:space="0" w:color="auto"/>
      </w:divBdr>
    </w:div>
    <w:div w:id="2132361826">
      <w:bodyDiv w:val="1"/>
      <w:marLeft w:val="0"/>
      <w:marRight w:val="0"/>
      <w:marTop w:val="0"/>
      <w:marBottom w:val="0"/>
      <w:divBdr>
        <w:top w:val="none" w:sz="0" w:space="0" w:color="auto"/>
        <w:left w:val="none" w:sz="0" w:space="0" w:color="auto"/>
        <w:bottom w:val="none" w:sz="0" w:space="0" w:color="auto"/>
        <w:right w:val="none" w:sz="0" w:space="0" w:color="auto"/>
      </w:divBdr>
    </w:div>
    <w:div w:id="214049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ht-to-education.org" TargetMode="External"/><Relationship Id="rId5" Type="http://schemas.openxmlformats.org/officeDocument/2006/relationships/settings" Target="settings.xml"/><Relationship Id="rId10" Type="http://schemas.openxmlformats.org/officeDocument/2006/relationships/hyperlink" Target="https://www.oas.org/dil/esp/codigo_de_la_infancia_y_la_adolescencia_colombia.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Cor20</b:Tag>
    <b:SourceType>Book</b:SourceType>
    <b:Guid>{BFE894D2-9C30-4EA0-9B89-B6FB8E730B3B}</b:Guid>
    <b:Author>
      <b:Author>
        <b:Corporate>Corte Suprema de Justicia</b:Corporate>
      </b:Author>
    </b:Author>
    <b:Year>2020</b:Year>
    <b:RefOrder>1</b:RefOrder>
  </b:Source>
  <b:Source>
    <b:Tag>Car20</b:Tag>
    <b:SourceType>Book</b:SourceType>
    <b:Guid>{9557C5EE-520B-4735-8237-0871BB9BD7E3}</b:Guid>
    <b:Author>
      <b:Author>
        <b:Corporate>Carvajal</b:Corporate>
      </b:Author>
    </b:Author>
    <b:Year>2020</b:Year>
    <b:RefOrder>2</b:RefOrder>
  </b:Source>
  <b:Source>
    <b:Tag>Cor21</b:Tag>
    <b:SourceType>Book</b:SourceType>
    <b:Guid>{A4B29D2E-F956-486B-8C9C-BA3552EF0411}</b:Guid>
    <b:Author>
      <b:Author>
        <b:Corporate>Corte Constitucional</b:Corporate>
      </b:Author>
    </b:Author>
    <b:Year>2021</b:Year>
    <b:RefOrder>3</b:RefOrder>
  </b:Source>
  <b:Source>
    <b:Tag>Cam19</b:Tag>
    <b:SourceType>Book</b:SourceType>
    <b:Guid>{C3690347-DE6F-4796-A5A0-FD61B76AE146}</b:Guid>
    <b:Author>
      <b:Author>
        <b:NameList>
          <b:Person>
            <b:Last>Campos</b:Last>
          </b:Person>
        </b:NameList>
      </b:Author>
    </b:Author>
    <b:Year>2019</b:Year>
    <b:RefOrder>5</b:RefOrder>
  </b:Source>
  <b:Source>
    <b:Tag>Pab00</b:Tag>
    <b:SourceType>Book</b:SourceType>
    <b:Guid>{FDBC0932-C6F0-44D3-B25B-46D9BD64194A}</b:Guid>
    <b:Author>
      <b:Author>
        <b:NameList>
          <b:Person>
            <b:Last>Pabón</b:Last>
          </b:Person>
        </b:NameList>
      </b:Author>
    </b:Author>
    <b:Year>2000</b:Year>
    <b:RefOrder>6</b:RefOrder>
  </b:Source>
  <b:Source>
    <b:Tag>Día20</b:Tag>
    <b:SourceType>Book</b:SourceType>
    <b:Guid>{986CCF86-7672-4488-8D4C-EED8E65676BF}</b:Guid>
    <b:Author>
      <b:Author>
        <b:NameList>
          <b:Person>
            <b:Last>Díaz</b:Last>
          </b:Person>
        </b:NameList>
      </b:Author>
    </b:Author>
    <b:Year>2020</b:Year>
    <b:RefOrder>7</b:RefOrder>
  </b:Source>
  <b:Source>
    <b:Tag>Lóp97</b:Tag>
    <b:SourceType>Book</b:SourceType>
    <b:Guid>{B4D6A22A-FA89-4C16-8251-791AE7976410}</b:Guid>
    <b:Author>
      <b:Author>
        <b:NameList>
          <b:Person>
            <b:Last>López</b:Last>
          </b:Person>
        </b:NameList>
      </b:Author>
    </b:Author>
    <b:Year>1997</b:Year>
    <b:RefOrder>8</b:RefOrder>
  </b:Source>
  <b:Source>
    <b:Tag>Dez05</b:Tag>
    <b:SourceType>Book</b:SourceType>
    <b:Guid>{9B252F6B-F0A8-4EDA-AE47-ABAB38BD24E6}</b:Guid>
    <b:Author>
      <b:Author>
        <b:NameList>
          <b:Person>
            <b:Last>Deza</b:Last>
          </b:Person>
        </b:NameList>
      </b:Author>
    </b:Author>
    <b:Year>2005</b:Year>
    <b:RefOrder>9</b:RefOrder>
  </b:Source>
  <b:Source>
    <b:Tag>Mañ14</b:Tag>
    <b:SourceType>Book</b:SourceType>
    <b:Guid>{63FA0F0C-4355-459E-878B-F5967C48DCF5}</b:Guid>
    <b:Author>
      <b:Author>
        <b:NameList>
          <b:Person>
            <b:Last>Mañalich</b:Last>
          </b:Person>
        </b:NameList>
      </b:Author>
    </b:Author>
    <b:Year>2014</b:Year>
    <b:RefOrder>10</b:RefOrder>
  </b:Source>
  <b:Source>
    <b:Tag>Abr19</b:Tag>
    <b:SourceType>Book</b:SourceType>
    <b:Guid>{66C596B8-2DD7-4605-AFA9-C0452BC1B94A}</b:Guid>
    <b:Author>
      <b:Author>
        <b:NameList>
          <b:Person>
            <b:Last>Abrill</b:Last>
          </b:Person>
        </b:NameList>
      </b:Author>
    </b:Author>
    <b:Year>2019</b:Year>
    <b:RefOrder>12</b:RefOrder>
  </b:Source>
  <b:Source>
    <b:Tag>Sal201</b:Tag>
    <b:SourceType>Book</b:SourceType>
    <b:Guid>{E9829824-0E47-4D3B-9B59-EB0CA358EE30}</b:Guid>
    <b:Author>
      <b:Author>
        <b:Corporate>Salamé, Camandá, y Lucas</b:Corporate>
      </b:Author>
    </b:Author>
    <b:Year>2020</b:Year>
    <b:RefOrder>11</b:RefOrder>
  </b:Source>
  <b:Source>
    <b:Tag>Sal20</b:Tag>
    <b:SourceType>Book</b:SourceType>
    <b:Guid>{E0D42BCD-6A04-4D62-8120-8E33994DD322}</b:Guid>
    <b:Author>
      <b:Author>
        <b:Corporate>Salamé et al</b:Corporate>
      </b:Author>
    </b:Author>
    <b:Year>2020</b:Year>
    <b:RefOrder>13</b:RefOrder>
  </b:Source>
  <b:Source>
    <b:Tag>Sen951</b:Tag>
    <b:SourceType>Book</b:SourceType>
    <b:Guid>{75D56855-2209-4964-A3EA-72E139C549BA}</b:Guid>
    <b:Author>
      <b:Author>
        <b:Corporate>Sentencia No. C-225/95</b:Corporate>
      </b:Author>
    </b:Author>
    <b:Year>1995</b:Year>
    <b:RefOrder>14</b:RefOrder>
  </b:Source>
  <b:Source>
    <b:Tag>Sen032</b:Tag>
    <b:SourceType>Book</b:SourceType>
    <b:Guid>{2184E489-ED8E-48E5-A263-E71A57871620}</b:Guid>
    <b:Author>
      <b:Author>
        <b:Corporate>Sentencia C – 1068 – 03</b:Corporate>
      </b:Author>
    </b:Author>
    <b:Year>2003</b:Year>
    <b:RefOrder>15</b:RefOrder>
  </b:Source>
  <b:Source>
    <b:Tag>Con891</b:Tag>
    <b:SourceType>Book</b:SourceType>
    <b:Guid>{F224D6BF-0049-4098-B94F-BF84ADBBCAE7}</b:Guid>
    <b:Author>
      <b:Author>
        <b:Corporate>Convención sobre los Derechos del Niño</b:Corporate>
      </b:Author>
    </b:Author>
    <b:Year>1989</b:Year>
    <b:RefOrder>16</b:RefOrder>
  </b:Source>
  <b:Source>
    <b:Tag>Org02</b:Tag>
    <b:SourceType>Book</b:SourceType>
    <b:Guid>{C59B6A79-0198-4335-9D0C-73672062F413}</b:Guid>
    <b:Author>
      <b:Author>
        <b:Corporate>Organización de las Naciones Unidas</b:Corporate>
      </b:Author>
    </b:Author>
    <b:Year>2002</b:Year>
    <b:RefOrder>17</b:RefOrder>
  </b:Source>
  <b:Source>
    <b:Tag>Con941</b:Tag>
    <b:SourceType>Book</b:SourceType>
    <b:Guid>{FD171EE1-7895-4644-B414-1F6428D1B345}</b:Guid>
    <b:Author>
      <b:Author>
        <b:Corporate>Convención Interamericana sobre Tráfico Internacional de Menores</b:Corporate>
      </b:Author>
    </b:Author>
    <b:Year>1994</b:Year>
    <b:RefOrder>18</b:RefOrder>
  </b:Source>
  <b:Source>
    <b:Tag>Con20</b:Tag>
    <b:SourceType>Book</b:SourceType>
    <b:Guid>{89DADC54-F1E7-4943-AEDA-961279384756}</b:Guid>
    <b:Author>
      <b:Author>
        <b:Corporate>Constitución Política de Colombia</b:Corporate>
      </b:Author>
    </b:Author>
    <b:Year>1991</b:Year>
    <b:RefOrder>4</b:RefOrder>
  </b:Source>
  <b:Source>
    <b:Tag>Ley061</b:Tag>
    <b:SourceType>Book</b:SourceType>
    <b:Guid>{AE22DAB8-90E2-4FB7-B80F-8B2199B30875}</b:Guid>
    <b:Author>
      <b:Author>
        <b:Corporate>Ley 1098</b:Corporate>
      </b:Author>
    </b:Author>
    <b:Year>2006</b:Year>
    <b:RefOrder>19</b:RefOrder>
  </b:Source>
  <b:Source>
    <b:Tag>UNI161</b:Tag>
    <b:SourceType>Book</b:SourceType>
    <b:Guid>{5CCDED92-D22E-4BCD-BA6C-AE3BAEAB1C1B}</b:Guid>
    <b:Author>
      <b:Author>
        <b:Corporate>UNICEF</b:Corporate>
      </b:Author>
    </b:Author>
    <b:Year>2016</b:Year>
    <b:RefOrder>21</b:RefOrder>
  </b:Source>
  <b:Source>
    <b:Tag>Ayu21</b:Tag>
    <b:SourceType>Book</b:SourceType>
    <b:Guid>{65DFE901-1A74-4EC4-B3EB-2545F0862514}</b:Guid>
    <b:Author>
      <b:Author>
        <b:NameList>
          <b:Person>
            <b:Last>Ayuso</b:Last>
          </b:Person>
        </b:NameList>
      </b:Author>
    </b:Author>
    <b:Year>2021</b:Year>
    <b:RefOrder>23</b:RefOrder>
  </b:Source>
  <b:Source>
    <b:Tag>Nar19</b:Tag>
    <b:SourceType>Book</b:SourceType>
    <b:Guid>{39034000-B77D-40AC-82E1-643BBCDF9674}</b:Guid>
    <b:Author>
      <b:Author>
        <b:NameList>
          <b:Person>
            <b:Last>Nares</b:Last>
          </b:Person>
        </b:NameList>
      </b:Author>
    </b:Author>
    <b:Year>2019</b:Year>
    <b:RefOrder>22</b:RefOrder>
  </b:Source>
  <b:Source>
    <b:Tag>Reu21</b:Tag>
    <b:SourceType>Book</b:SourceType>
    <b:Guid>{4BE9263E-E2AD-44A8-A067-0568D09E3FB3}</b:Guid>
    <b:Author>
      <b:Author>
        <b:Corporate>Reuters Staff</b:Corporate>
      </b:Author>
    </b:Author>
    <b:Year>2021</b:Year>
    <b:RefOrder>24</b:RefOrder>
  </b:Source>
  <b:Source>
    <b:Tag>Dom14</b:Tag>
    <b:SourceType>Book</b:SourceType>
    <b:Guid>{83C48CB3-09EC-4ACC-9EE3-CA92E39704E6}</b:Guid>
    <b:Author>
      <b:Author>
        <b:NameList>
          <b:Person>
            <b:Last>Domínguez</b:Last>
          </b:Person>
        </b:NameList>
      </b:Author>
    </b:Author>
    <b:Year>2014</b:Year>
    <b:RefOrder>25</b:RefOrder>
  </b:Source>
  <b:Source>
    <b:Tag>Cód87</b:Tag>
    <b:SourceType>Book</b:SourceType>
    <b:Guid>{ABC1D620-0A46-4820-A09D-4EF340CF25C2}</b:Guid>
    <b:Author>
      <b:Author>
        <b:Corporate>Código Civil</b:Corporate>
      </b:Author>
    </b:Author>
    <b:Year>1887</b:Year>
    <b:RefOrder>26</b:RefOrder>
  </b:Source>
  <b:Source>
    <b:Tag>Ins10</b:Tag>
    <b:SourceType>Book</b:SourceType>
    <b:Guid>{6474A598-32F3-419D-B6F4-99A190CFE9B9}</b:Guid>
    <b:Author>
      <b:Author>
        <b:Corporate>Instituto Colombiano de Bienestar Familiar [ICBF]</b:Corporate>
      </b:Author>
    </b:Author>
    <b:Year>2010</b:Year>
    <b:RefOrder>27</b:RefOrder>
  </b:Source>
  <b:Source>
    <b:Tag>Sen96</b:Tag>
    <b:SourceType>Book</b:SourceType>
    <b:Guid>{C5499A92-742D-471F-BC90-88CCF33E79AF}</b:Guid>
    <b:Author>
      <b:Author>
        <b:Corporate>Sentencia T-474/96</b:Corporate>
      </b:Author>
    </b:Author>
    <b:Year>1996</b:Year>
    <b:RefOrder>28</b:RefOrder>
  </b:Source>
  <b:Source>
    <b:Tag>Esq13</b:Tag>
    <b:SourceType>Book</b:SourceType>
    <b:Guid>{F76B3EF6-9DF0-451B-A047-FB9BFB6C2F94}</b:Guid>
    <b:Author>
      <b:Author>
        <b:Corporate>Esquerda, Pifarré, y Miquel</b:Corporate>
      </b:Author>
    </b:Author>
    <b:Year>2013</b:Year>
    <b:RefOrder>29</b:RefOrder>
  </b:Source>
  <b:Source>
    <b:Tag>Pin13</b:Tag>
    <b:SourceType>Book</b:SourceType>
    <b:Guid>{589C26E4-EB37-47AF-A4DB-66AF4EB63D2F}</b:Guid>
    <b:Author>
      <b:Author>
        <b:Corporate>Pinto y Gulfo</b:Corporate>
      </b:Author>
    </b:Author>
    <b:Year>2013</b:Year>
    <b:RefOrder>30</b:RefOrder>
  </b:Source>
  <b:Source>
    <b:Tag>Wen03</b:Tag>
    <b:SourceType>Book</b:SourceType>
    <b:Guid>{2B085A1C-F5D2-4552-AF70-AAE10CBA1F22}</b:Guid>
    <b:Author>
      <b:Author>
        <b:Corporate>Wendler y Shah</b:Corporate>
      </b:Author>
    </b:Author>
    <b:Year>2003</b:Year>
    <b:RefOrder>31</b:RefOrder>
  </b:Source>
  <b:Source>
    <b:Tag>Fis171</b:Tag>
    <b:SourceType>Book</b:SourceType>
    <b:Guid>{E152A093-6055-4030-9EFF-DC38C6566B6B}</b:Guid>
    <b:Author>
      <b:Author>
        <b:Corporate>Fiscalía General del Estado</b:Corporate>
      </b:Author>
    </b:Author>
    <b:Year>2017</b:Year>
    <b:RefOrder>32</b:RefOrder>
  </b:Source>
  <b:Source>
    <b:Tag>Rom97</b:Tag>
    <b:SourceType>Book</b:SourceType>
    <b:Guid>{1CAF1235-8922-4F5E-B16B-7CC06B29EED0}</b:Guid>
    <b:Author>
      <b:Author>
        <b:NameList>
          <b:Person>
            <b:Last>Romero</b:Last>
          </b:Person>
        </b:NameList>
      </b:Author>
    </b:Author>
    <b:Year>1997</b:Year>
    <b:RefOrder>33</b:RefOrder>
  </b:Source>
  <b:Source>
    <b:Tag>Cód04</b:Tag>
    <b:SourceType>Book</b:SourceType>
    <b:Guid>{D2EE4B94-9950-47BF-8FE0-F6BE621444A4}</b:Guid>
    <b:Author>
      <b:Author>
        <b:Corporate>Código de Procedimiento Penal</b:Corporate>
      </b:Author>
    </b:Author>
    <b:Year>2004</b:Year>
    <b:RefOrder>34</b:RefOrder>
  </b:Source>
  <b:Source>
    <b:Tag>Dec14</b:Tag>
    <b:SourceType>Book</b:SourceType>
    <b:Guid>{DC6B3826-59D9-4AED-B410-D34FD06AFF8B}</b:Guid>
    <b:Author>
      <b:Author>
        <b:Corporate>Decreto Ley 016</b:Corporate>
      </b:Author>
    </b:Author>
    <b:Year>2014</b:Year>
    <b:RefOrder>35</b:RefOrder>
  </b:Source>
  <b:Source>
    <b:Tag>Esc18</b:Tag>
    <b:SourceType>Book</b:SourceType>
    <b:Guid>{39A420F5-C4DE-48D2-9680-9A713B99CCF8}</b:Guid>
    <b:Author>
      <b:Author>
        <b:Corporate>Escallón, Herrera, y Pedraza</b:Corporate>
      </b:Author>
    </b:Author>
    <b:Year>2018</b:Year>
    <b:RefOrder>36</b:RefOrder>
  </b:Source>
  <b:Source>
    <b:Tag>Ven07</b:Tag>
    <b:SourceType>Book</b:SourceType>
    <b:Guid>{6C843168-D53C-49DA-9881-B5B0629FAFFE}</b:Guid>
    <b:Author>
      <b:Author>
        <b:NameList>
          <b:Person>
            <b:Last>Venegas</b:Last>
          </b:Person>
        </b:NameList>
      </b:Author>
    </b:Author>
    <b:Year>2007</b:Year>
    <b:RefOrder>37</b:RefOrder>
  </b:Source>
  <b:Source>
    <b:Tag>Rea921</b:Tag>
    <b:SourceType>Book</b:SourceType>
    <b:Guid>{27B4BC0F-C9B3-4F4B-A274-CEF15EC2A1FA}</b:Guid>
    <b:Author>
      <b:Author>
        <b:Corporate>Real Academia de la Lengua Española</b:Corporate>
      </b:Author>
    </b:Author>
    <b:Year>1992</b:Year>
    <b:RefOrder>38</b:RefOrder>
  </b:Source>
  <b:Source>
    <b:Tag>Góm90</b:Tag>
    <b:SourceType>Book</b:SourceType>
    <b:Guid>{313BBFB5-78D9-4B60-906E-794638DA64CA}</b:Guid>
    <b:Author>
      <b:Author>
        <b:NameList>
          <b:Person>
            <b:Last>Gómez</b:Last>
          </b:Person>
        </b:NameList>
      </b:Author>
    </b:Author>
    <b:Year>1990</b:Year>
    <b:RefOrder>39</b:RefOrder>
  </b:Source>
  <b:Source>
    <b:Tag>Cód001</b:Tag>
    <b:SourceType>Book</b:SourceType>
    <b:Guid>{BDCE8A57-22DD-463A-87A8-C7C15AF597E1}</b:Guid>
    <b:Author>
      <b:Author>
        <b:Corporate>Código Penal</b:Corporate>
      </b:Author>
    </b:Author>
    <b:Year>2000</b:Year>
    <b:RefOrder>40</b:RefOrder>
  </b:Source>
  <b:Source>
    <b:Tag>Ofi101</b:Tag>
    <b:SourceType>Book</b:SourceType>
    <b:Guid>{A3679F4F-DBFE-4625-AA14-5EA8E2C664EC}</b:Guid>
    <b:Author>
      <b:Author>
        <b:Corporate>Oficina en Colombia del Alto Comisionado de Naciones Unidas y defensoría</b:Corporate>
      </b:Author>
    </b:Author>
    <b:Year>2010</b:Year>
    <b:RefOrder>41</b:RefOrder>
  </b:Source>
  <b:Source>
    <b:Tag>Fís03</b:Tag>
    <b:SourceType>Book</b:SourceType>
    <b:Guid>{D24C3A95-E209-4AC0-B861-7DAFF3540006}</b:Guid>
    <b:Author>
      <b:Author>
        <b:Corporate>Físcalia General de la Nación</b:Corporate>
      </b:Author>
    </b:Author>
    <b:Year>2003</b:Year>
    <b:RefOrder>43</b:RefOrder>
  </b:Source>
  <b:Source>
    <b:Tag>Rod101</b:Tag>
    <b:SourceType>Book</b:SourceType>
    <b:Guid>{790ED28B-260E-41C6-ACE6-6AACB01C11AF}</b:Guid>
    <b:Author>
      <b:Author>
        <b:NameList>
          <b:Person>
            <b:Last>Rodríguez</b:Last>
          </b:Person>
        </b:NameList>
      </b:Author>
    </b:Author>
    <b:Year>2010</b:Year>
    <b:RefOrder>42</b:RefOrder>
  </b:Source>
  <b:Source>
    <b:Tag>Pol071</b:Tag>
    <b:SourceType>Book</b:SourceType>
    <b:Guid>{EF2266C5-D22F-4919-AF28-52DE356B9E19}</b:Guid>
    <b:Author>
      <b:Author>
        <b:Corporate>Policia Nacional de Colombia</b:Corporate>
      </b:Author>
    </b:Author>
    <b:Year>2007</b:Year>
    <b:RefOrder>44</b:RefOrder>
  </b:Source>
  <b:Source>
    <b:Tag>Fis22</b:Tag>
    <b:SourceType>Book</b:SourceType>
    <b:Guid>{DAEF7AEC-8B12-4D5F-9B38-F14C37B2BC37}</b:Guid>
    <b:Author>
      <b:Author>
        <b:Corporate>Fiscalía General de la Nación</b:Corporate>
      </b:Author>
    </b:Author>
    <b:Year>2022</b:Year>
    <b:RefOrder>45</b:RefOrder>
  </b:Source>
  <b:Source>
    <b:Tag>Sen191</b:Tag>
    <b:SourceType>Book</b:SourceType>
    <b:Guid>{6B76F89F-2225-4F1C-A8A9-335893507F15}</b:Guid>
    <b:Author>
      <b:Author>
        <b:Corporate>Sentencia T- 142</b:Corporate>
      </b:Author>
    </b:Author>
    <b:Year>2019</b:Year>
    <b:RefOrder>46</b:RefOrder>
  </b:Source>
  <b:Source>
    <b:Tag>Sen952</b:Tag>
    <b:SourceType>Book</b:SourceType>
    <b:Guid>{22A31AEF-B8F2-4EE3-84BA-1D3AE3EFBD03}</b:Guid>
    <b:Author>
      <b:Author>
        <b:Corporate>Sentencia T-408</b:Corporate>
      </b:Author>
    </b:Author>
    <b:Year>1995</b:Year>
    <b:RefOrder>47</b:RefOrder>
  </b:Source>
  <b:Source>
    <b:Tag>Reg851</b:Tag>
    <b:SourceType>Book</b:SourceType>
    <b:Guid>{C14337D5-8AC8-44B1-92A8-8B367F63A352}</b:Guid>
    <b:Author>
      <b:Author>
        <b:Corporate>Reglas mínimas de las Naciones Unidas para la administración de la justicia de menores</b:Corporate>
      </b:Author>
    </b:Author>
    <b:Year>1985</b:Year>
    <b:RefOrder>48</b:RefOrder>
  </b:Source>
  <b:Source>
    <b:Tag>Cor201</b:Tag>
    <b:SourceType>Book</b:SourceType>
    <b:Guid>{D085374A-9A09-4488-9A82-2FB827A6EBB7}</b:Guid>
    <b:Author>
      <b:Author>
        <b:Corporate>Corte Suprema de Justicia</b:Corporate>
      </b:Author>
    </b:Author>
    <b:Year>2020</b:Year>
    <b:RefOrder>20</b:RefOrder>
  </b:Source>
  <b:Source>
    <b:Tag>Sen033</b:Tag>
    <b:SourceType>Book</b:SourceType>
    <b:Guid>{EC7D42B0-6FF1-4452-9325-CD55591C9A25}</b:Guid>
    <b:Author>
      <b:Author>
        <b:Corporate>Sentencia T-510/03</b:Corporate>
      </b:Author>
    </b:Author>
    <b:Year>2003</b:Year>
    <b:RefOrder>53</b:RefOrder>
  </b:Source>
  <b:Source>
    <b:Tag>Min17</b:Tag>
    <b:SourceType>Book</b:SourceType>
    <b:Guid>{9ED77CDC-032B-40A9-B3F0-79EA90636E1F}</b:Guid>
    <b:Author>
      <b:Author>
        <b:Corporate>Ministerio de Relaciones Exteriores</b:Corporate>
      </b:Author>
    </b:Author>
    <b:Year>2017</b:Year>
    <b:RefOrder>49</b:RefOrder>
  </b:Source>
  <b:Source>
    <b:Tag>Pal08</b:Tag>
    <b:SourceType>Book</b:SourceType>
    <b:Guid>{68651185-CC47-49C4-9B72-0A0CD6125060}</b:Guid>
    <b:Author>
      <b:Author>
        <b:NameList>
          <b:Person>
            <b:Last>Palacios</b:Last>
          </b:Person>
        </b:NameList>
      </b:Author>
    </b:Author>
    <b:Year>2008</b:Year>
    <b:RefOrder>50</b:RefOrder>
  </b:Source>
  <b:Source>
    <b:Tag>Cor03</b:Tag>
    <b:SourceType>Book</b:SourceType>
    <b:Guid>{18F78FCC-B4A7-4989-B870-E7B6E5381806}</b:Guid>
    <b:Author>
      <b:Author>
        <b:Corporate>Corona y Ortiz</b:Corporate>
      </b:Author>
    </b:Author>
    <b:Year>2003</b:Year>
    <b:RefOrder>51</b:RefOrder>
  </b:Source>
  <b:Source>
    <b:Tag>Fon07</b:Tag>
    <b:SourceType>Book</b:SourceType>
    <b:Guid>{B313344F-7897-4F30-A534-990F5CB80EAE}</b:Guid>
    <b:Author>
      <b:Author>
        <b:Corporate>Fondo de población de las Naciones Unidas</b:Corporate>
      </b:Author>
    </b:Author>
    <b:Year>2007</b:Year>
    <b:RefOrder>52</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uCfOo9R2+4t/1xYuUbsxblxf+g==">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</go:docsCustomData>
</go:gDocsCustomXmlDataStorage>
</file>

<file path=customXml/itemProps1.xml><?xml version="1.0" encoding="utf-8"?>
<ds:datastoreItem xmlns:ds="http://schemas.openxmlformats.org/officeDocument/2006/customXml" ds:itemID="{5E609CD2-855F-4DDF-AF9D-81CF92B114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87</Pages>
  <Words>21455</Words>
  <Characters>121651</Characters>
  <Application>Microsoft Office Word</Application>
  <DocSecurity>0</DocSecurity>
  <Lines>6082</Lines>
  <Paragraphs>2862</Paragraphs>
  <ScaleCrop>false</ScaleCrop>
  <HeadingPairs>
    <vt:vector size="2" baseType="variant">
      <vt:variant>
        <vt:lpstr>Título</vt:lpstr>
      </vt:variant>
      <vt:variant>
        <vt:i4>1</vt:i4>
      </vt:variant>
    </vt:vector>
  </HeadingPairs>
  <TitlesOfParts>
    <vt:vector size="1" baseType="lpstr">
      <vt:lpstr>El consentimiento de los menores entre 12 y 14 años en los delitos sexuales</vt:lpstr>
    </vt:vector>
  </TitlesOfParts>
  <Company>Universidad Antonio Nariño</Company>
  <LinksUpToDate>false</LinksUpToDate>
  <CharactersWithSpaces>140244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consentimiento de los menores entre 12 y 14 años en los delitos sexuales</dc:title>
  <dc:subject>Tesis</dc:subject>
  <dc:creator>Sandy Paola Villamil Beltran </dc:creator>
  <cp:keywords>consentimiento sexual, adolescentes, abuso sexual, delito, presuncion de derecho iuris et de iure y presuncion legal iuris tantum.</cp:keywords>
  <cp:lastModifiedBy>genesis vanessa</cp:lastModifiedBy>
  <cp:revision>8</cp:revision>
  <cp:lastPrinted>2023-05-12T14:37:00Z</cp:lastPrinted>
  <dcterms:created xsi:type="dcterms:W3CDTF">2023-05-23T01:14:00Z</dcterms:created>
  <dcterms:modified xsi:type="dcterms:W3CDTF">2023-07-22T00:50:00Z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49dd850893a8bf59443bcf27b43697efe03b72d2cfa1e1aa25e621a57dabef05</vt:lpwstr>
  </property>
</Properties>
</file>